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94" w:lineRule="exact"/>
        <w:jc w:val="left"/>
        <w:rPr>
          <w:rFonts w:ascii="黑体" w:hAnsi="黑体" w:eastAsia="黑体"/>
          <w:sz w:val="32"/>
          <w:szCs w:val="32"/>
        </w:rPr>
      </w:pPr>
    </w:p>
    <w:p>
      <w:pPr>
        <w:spacing w:line="594" w:lineRule="exact"/>
        <w:jc w:val="left"/>
        <w:rPr>
          <w:rFonts w:hint="eastAsia" w:ascii="方正小标宋简体" w:hAnsi="Times New Roman" w:eastAsia="方正小标宋简体" w:cs="Times New Roman"/>
          <w:sz w:val="44"/>
          <w:szCs w:val="32"/>
          <w:lang w:eastAsia="zh-CN"/>
        </w:rPr>
      </w:pPr>
      <w:bookmarkStart w:id="0" w:name="_Hlk26363982"/>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before="157" w:beforeLines="50" w:after="157" w:afterLines="50" w:line="594" w:lineRule="exact"/>
        <w:jc w:val="center"/>
        <w:textAlignment w:val="auto"/>
        <w:outlineLvl w:val="9"/>
        <w:rPr>
          <w:rFonts w:hint="eastAsia" w:ascii="方正小标宋简体" w:hAnsi="Times New Roman" w:eastAsia="方正小标宋简体" w:cs="Times New Roman"/>
          <w:sz w:val="44"/>
          <w:szCs w:val="32"/>
        </w:rPr>
      </w:pPr>
      <w:r>
        <w:rPr>
          <w:rFonts w:hint="eastAsia" w:ascii="方正小标宋简体" w:hAnsi="Times New Roman" w:eastAsia="方正小标宋简体" w:cs="Times New Roman"/>
          <w:sz w:val="44"/>
          <w:szCs w:val="32"/>
        </w:rPr>
        <w:t>强制性产品认证目录产品与2020年</w:t>
      </w:r>
      <w:r>
        <w:rPr>
          <w:rStyle w:val="16"/>
          <w:rFonts w:hint="eastAsia" w:ascii="方正小标宋简体" w:eastAsia="方正小标宋简体"/>
          <w:b w:val="0"/>
          <w:sz w:val="44"/>
          <w:szCs w:val="44"/>
        </w:rPr>
        <w:t>商品编号</w:t>
      </w:r>
      <w:r>
        <w:rPr>
          <w:rFonts w:hint="eastAsia" w:ascii="方正小标宋简体" w:hAnsi="Times New Roman" w:eastAsia="方正小标宋简体" w:cs="Times New Roman"/>
          <w:sz w:val="44"/>
          <w:szCs w:val="32"/>
        </w:rPr>
        <w:t>对应</w:t>
      </w:r>
      <w:r>
        <w:rPr>
          <w:rFonts w:hint="eastAsia" w:ascii="方正小标宋简体" w:hAnsi="Times New Roman" w:eastAsia="方正小标宋简体" w:cs="Times New Roman"/>
          <w:sz w:val="44"/>
          <w:szCs w:val="32"/>
          <w:lang w:eastAsia="zh-CN"/>
        </w:rPr>
        <w:t>参考</w:t>
      </w:r>
      <w:r>
        <w:rPr>
          <w:rFonts w:hint="eastAsia" w:ascii="方正小标宋简体" w:hAnsi="Times New Roman" w:eastAsia="方正小标宋简体" w:cs="Times New Roman"/>
          <w:sz w:val="44"/>
          <w:szCs w:val="32"/>
        </w:rPr>
        <w:t>表</w:t>
      </w:r>
    </w:p>
    <w:p>
      <w:pPr>
        <w:jc w:val="center"/>
        <w:textAlignment w:val="center"/>
        <w:rPr>
          <w:rFonts w:hint="eastAsia" w:ascii="宋体" w:hAnsi="宋体"/>
          <w:sz w:val="18"/>
          <w:szCs w:val="18"/>
        </w:rPr>
      </w:pPr>
    </w:p>
    <w:bookmarkEnd w:id="0"/>
    <w:tbl>
      <w:tblPr>
        <w:tblStyle w:val="14"/>
        <w:tblpPr w:leftFromText="180" w:rightFromText="180" w:vertAnchor="text" w:horzAnchor="page" w:tblpXSpec="center" w:tblpY="340"/>
        <w:tblOverlap w:val="never"/>
        <w:tblW w:w="45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2343"/>
        <w:gridCol w:w="921"/>
        <w:gridCol w:w="3242"/>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7" w:hRule="atLeast"/>
          <w:tblHeader/>
          <w:jc w:val="center"/>
        </w:trPr>
        <w:tc>
          <w:tcPr>
            <w:tcW w:w="909"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outlineLvl w:val="9"/>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序号</w:t>
            </w:r>
          </w:p>
        </w:tc>
        <w:tc>
          <w:tcPr>
            <w:tcW w:w="4037"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outlineLvl w:val="9"/>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强制性产品认证目录</w:t>
            </w:r>
          </w:p>
          <w:p>
            <w:pPr>
              <w:keepNext w:val="0"/>
              <w:keepLines w:val="0"/>
              <w:pageBreakBefore w:val="0"/>
              <w:widowControl/>
              <w:kinsoku/>
              <w:wordWrap/>
              <w:overflowPunct/>
              <w:topLinePunct w:val="0"/>
              <w:autoSpaceDE/>
              <w:autoSpaceDN/>
              <w:bidi w:val="0"/>
              <w:adjustRightInd/>
              <w:snapToGrid/>
              <w:spacing w:line="360" w:lineRule="exact"/>
              <w:jc w:val="center"/>
              <w:textAlignment w:val="center"/>
              <w:outlineLvl w:val="9"/>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产品名称</w:t>
            </w:r>
          </w:p>
        </w:tc>
        <w:tc>
          <w:tcPr>
            <w:tcW w:w="1573"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outlineLvl w:val="9"/>
              <w:rPr>
                <w:rFonts w:hint="eastAsia" w:ascii="仿宋_GB2312" w:hAnsi="仿宋_GB2312" w:eastAsia="仿宋_GB2312" w:cs="仿宋_GB2312"/>
                <w:b/>
                <w:bCs w:val="0"/>
                <w:kern w:val="0"/>
                <w:sz w:val="28"/>
                <w:szCs w:val="28"/>
                <w:lang w:eastAsia="zh-CN"/>
              </w:rPr>
            </w:pPr>
            <w:r>
              <w:rPr>
                <w:rFonts w:hint="eastAsia" w:ascii="仿宋_GB2312" w:hAnsi="仿宋_GB2312" w:eastAsia="仿宋_GB2312" w:cs="仿宋_GB2312"/>
                <w:b/>
                <w:bCs w:val="0"/>
                <w:kern w:val="0"/>
                <w:sz w:val="28"/>
                <w:szCs w:val="28"/>
              </w:rPr>
              <w:t>商品</w:t>
            </w:r>
            <w:r>
              <w:rPr>
                <w:rFonts w:hint="eastAsia" w:ascii="仿宋_GB2312" w:hAnsi="仿宋_GB2312" w:eastAsia="仿宋_GB2312" w:cs="仿宋_GB2312"/>
                <w:b/>
                <w:bCs w:val="0"/>
                <w:kern w:val="0"/>
                <w:sz w:val="28"/>
                <w:szCs w:val="28"/>
                <w:lang w:eastAsia="zh-CN"/>
              </w:rPr>
              <w:t>编号</w:t>
            </w:r>
          </w:p>
        </w:tc>
        <w:tc>
          <w:tcPr>
            <w:tcW w:w="5597"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outlineLvl w:val="9"/>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商品</w:t>
            </w:r>
            <w:r>
              <w:rPr>
                <w:rFonts w:hint="eastAsia" w:ascii="仿宋_GB2312" w:hAnsi="仿宋_GB2312" w:eastAsia="仿宋_GB2312" w:cs="仿宋_GB2312"/>
                <w:b/>
                <w:bCs w:val="0"/>
                <w:kern w:val="0"/>
                <w:sz w:val="28"/>
                <w:szCs w:val="28"/>
                <w:lang w:eastAsia="zh-CN"/>
              </w:rPr>
              <w:t>编号</w:t>
            </w:r>
            <w:r>
              <w:rPr>
                <w:rFonts w:hint="eastAsia" w:ascii="仿宋_GB2312" w:hAnsi="仿宋_GB2312" w:eastAsia="仿宋_GB2312" w:cs="仿宋_GB2312"/>
                <w:b/>
                <w:bCs w:val="0"/>
                <w:kern w:val="0"/>
                <w:sz w:val="28"/>
                <w:szCs w:val="28"/>
              </w:rPr>
              <w:t>对应的商品名称</w:t>
            </w:r>
          </w:p>
        </w:tc>
        <w:tc>
          <w:tcPr>
            <w:tcW w:w="2077" w:type="dxa"/>
            <w:vAlign w:val="center"/>
          </w:tcPr>
          <w:p>
            <w:pPr>
              <w:widowControl/>
              <w:jc w:val="center"/>
              <w:textAlignment w:val="center"/>
              <w:rPr>
                <w:rFonts w:hint="eastAsia" w:ascii="仿宋_GB2312" w:hAnsi="仿宋_GB2312" w:eastAsia="仿宋_GB2312" w:cs="仿宋_GB2312"/>
                <w:b/>
                <w:bCs w:val="0"/>
                <w:kern w:val="0"/>
                <w:sz w:val="28"/>
                <w:szCs w:val="28"/>
                <w:lang w:eastAsia="zh-CN"/>
              </w:rPr>
            </w:pPr>
            <w:r>
              <w:rPr>
                <w:rFonts w:hint="eastAsia" w:ascii="仿宋_GB2312" w:hAnsi="仿宋_GB2312" w:eastAsia="仿宋_GB2312" w:cs="仿宋_GB2312"/>
                <w:b/>
                <w:bCs w:val="0"/>
                <w:kern w:val="0"/>
                <w:sz w:val="28"/>
                <w:szCs w:val="28"/>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电线组件</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8536909000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其他电压≤1000伏电路连接器等电气装置</w:t>
            </w:r>
          </w:p>
        </w:tc>
        <w:tc>
          <w:tcPr>
            <w:tcW w:w="2077" w:type="dxa"/>
            <w:vMerge w:val="restart"/>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8544422100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80V&lt;额定电压≤1000V有接头电缆</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8544422900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80V&lt;额定电压≤1000V有接头电导体</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额定电压450/750V及以下聚氯乙烯绝缘电线电缆</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8544492100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1000伏≥额定电压＞80伏其他电缆</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额定电压 450/750V及以下橡皮绝缘电线电缆</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8544492100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1000伏≥额定电压＞80伏其他电缆</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w:t>
            </w:r>
          </w:p>
        </w:tc>
        <w:tc>
          <w:tcPr>
            <w:tcW w:w="4037" w:type="dxa"/>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插头插座（家用和类似用途）</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8536690000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电压≤1000伏的插头及插座</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家用和类似用途固定式电气装置的开关</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8536500000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电压≤1000伏的其他开关</w:t>
            </w:r>
          </w:p>
        </w:tc>
        <w:tc>
          <w:tcPr>
            <w:tcW w:w="2077" w:type="dxa"/>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器具耦合器（家用和类似用途）</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8536909000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其他电压≤1000伏电路连接器等电气装置</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8536901900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其他36伏&lt;电压≤1000伏的接插件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w:t>
            </w:r>
          </w:p>
        </w:tc>
        <w:tc>
          <w:tcPr>
            <w:tcW w:w="4037" w:type="dxa"/>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热熔断体</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熔断器(电压不超过1000伏)</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家用和类似用途固定式电气装置电器附件外壳</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8538900000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品目8535、8536、8537装置的零件(专用于或主要用于)</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lang w:val="en-US" w:eastAsia="zh-CN"/>
              </w:rPr>
            </w:pPr>
          </w:p>
        </w:tc>
        <w:tc>
          <w:tcPr>
            <w:tcW w:w="4037" w:type="dxa"/>
            <w:vMerge w:val="continue"/>
            <w:vAlign w:val="center"/>
          </w:tcPr>
          <w:p>
            <w:pPr>
              <w:widowControl/>
              <w:jc w:val="center"/>
              <w:textAlignment w:val="center"/>
              <w:rPr>
                <w:rFonts w:hint="eastAsia" w:ascii="仿宋_GB2312" w:hAnsi="仿宋_GB2312" w:eastAsia="仿宋_GB2312" w:cs="仿宋_GB2312"/>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8547200000</w:t>
            </w:r>
          </w:p>
        </w:tc>
        <w:tc>
          <w:tcPr>
            <w:tcW w:w="5597" w:type="dxa"/>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塑料制绝缘零件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lang w:val="en-US" w:eastAsia="zh-CN"/>
              </w:rPr>
            </w:pPr>
          </w:p>
        </w:tc>
        <w:tc>
          <w:tcPr>
            <w:tcW w:w="4037" w:type="dxa"/>
            <w:vMerge w:val="continue"/>
            <w:vAlign w:val="center"/>
          </w:tcPr>
          <w:p>
            <w:pPr>
              <w:widowControl/>
              <w:jc w:val="center"/>
              <w:textAlignment w:val="center"/>
              <w:rPr>
                <w:rFonts w:hint="eastAsia" w:ascii="仿宋_GB2312" w:hAnsi="仿宋_GB2312" w:eastAsia="仿宋_GB2312" w:cs="仿宋_GB2312"/>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8547909000</w:t>
            </w:r>
          </w:p>
        </w:tc>
        <w:tc>
          <w:tcPr>
            <w:tcW w:w="5597" w:type="dxa"/>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其他材料制绝缘配件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Align w:val="center"/>
          </w:tcPr>
          <w:p>
            <w:pPr>
              <w:widowControl/>
              <w:contextualSpacing/>
              <w:jc w:val="center"/>
              <w:textAlignment w:val="center"/>
              <w:rPr>
                <w:rFonts w:hint="default" w:ascii="仿宋_GB2312" w:hAnsi="仿宋_GB2312" w:eastAsia="仿宋_GB2312" w:cs="仿宋_GB2312"/>
                <w:bCs/>
                <w:kern w:val="0"/>
                <w:sz w:val="21"/>
                <w:szCs w:val="21"/>
                <w:lang w:val="en-US" w:eastAsia="zh-CN"/>
              </w:rPr>
            </w:pPr>
            <w:r>
              <w:rPr>
                <w:rFonts w:hint="eastAsia" w:ascii="仿宋_GB2312" w:hAnsi="仿宋_GB2312" w:eastAsia="仿宋_GB2312" w:cs="仿宋_GB2312"/>
                <w:bCs/>
                <w:kern w:val="0"/>
                <w:sz w:val="21"/>
                <w:szCs w:val="21"/>
                <w:lang w:val="en-US" w:eastAsia="zh-CN"/>
              </w:rPr>
              <w:t>9</w:t>
            </w:r>
          </w:p>
        </w:tc>
        <w:tc>
          <w:tcPr>
            <w:tcW w:w="4037" w:type="dxa"/>
            <w:vAlign w:val="center"/>
          </w:tcPr>
          <w:p>
            <w:pPr>
              <w:widowControl/>
              <w:contextualSpacing/>
              <w:jc w:val="center"/>
              <w:textAlignment w:val="center"/>
              <w:rPr>
                <w:rFonts w:hint="eastAsia" w:ascii="仿宋_GB2312" w:hAnsi="仿宋_GB2312" w:eastAsia="仿宋_GB2312" w:cs="仿宋_GB2312"/>
                <w:b/>
                <w:kern w:val="0"/>
                <w:sz w:val="21"/>
                <w:szCs w:val="21"/>
              </w:rPr>
            </w:pPr>
            <w:r>
              <w:rPr>
                <w:rFonts w:hint="eastAsia" w:ascii="仿宋_GB2312" w:hAnsi="仿宋_GB2312" w:eastAsia="仿宋_GB2312" w:cs="仿宋_GB2312"/>
                <w:kern w:val="0"/>
                <w:sz w:val="21"/>
                <w:szCs w:val="21"/>
              </w:rPr>
              <w:t>小型熔断器的管状熔断体</w:t>
            </w:r>
          </w:p>
        </w:tc>
        <w:tc>
          <w:tcPr>
            <w:tcW w:w="1573" w:type="dxa"/>
            <w:vAlign w:val="center"/>
          </w:tcPr>
          <w:p>
            <w:pPr>
              <w:widowControl/>
              <w:contextualSpacing/>
              <w:jc w:val="center"/>
              <w:textAlignment w:val="center"/>
              <w:rPr>
                <w:rFonts w:hint="eastAsia" w:ascii="仿宋_GB2312" w:hAnsi="仿宋_GB2312" w:eastAsia="仿宋_GB2312" w:cs="仿宋_GB2312"/>
                <w:b/>
                <w:kern w:val="0"/>
                <w:sz w:val="21"/>
                <w:szCs w:val="21"/>
              </w:rPr>
            </w:pPr>
            <w:r>
              <w:rPr>
                <w:rFonts w:hint="eastAsia" w:ascii="仿宋_GB2312" w:hAnsi="仿宋_GB2312" w:eastAsia="仿宋_GB2312" w:cs="仿宋_GB2312"/>
                <w:kern w:val="0"/>
                <w:sz w:val="21"/>
                <w:szCs w:val="21"/>
              </w:rPr>
              <w:t>8536100000</w:t>
            </w:r>
          </w:p>
        </w:tc>
        <w:tc>
          <w:tcPr>
            <w:tcW w:w="5597" w:type="dxa"/>
            <w:vAlign w:val="center"/>
          </w:tcPr>
          <w:p>
            <w:pPr>
              <w:widowControl/>
              <w:contextualSpacing/>
              <w:jc w:val="center"/>
              <w:textAlignment w:val="center"/>
              <w:rPr>
                <w:rFonts w:hint="eastAsia" w:ascii="仿宋_GB2312" w:hAnsi="仿宋_GB2312" w:eastAsia="仿宋_GB2312" w:cs="仿宋_GB2312"/>
                <w:b/>
                <w:kern w:val="0"/>
                <w:sz w:val="21"/>
                <w:szCs w:val="21"/>
              </w:rPr>
            </w:pPr>
            <w:r>
              <w:rPr>
                <w:rFonts w:hint="eastAsia" w:ascii="仿宋_GB2312" w:hAnsi="仿宋_GB2312" w:eastAsia="仿宋_GB2312" w:cs="仿宋_GB2312"/>
                <w:kern w:val="0"/>
                <w:sz w:val="21"/>
                <w:szCs w:val="21"/>
              </w:rPr>
              <w:t>熔断器(电压不超过1000伏)</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restart"/>
            <w:vAlign w:val="center"/>
          </w:tcPr>
          <w:p>
            <w:pPr>
              <w:contextualSpacing/>
              <w:jc w:val="center"/>
              <w:textAlignment w:val="center"/>
              <w:rPr>
                <w:rFonts w:hint="default" w:ascii="仿宋_GB2312" w:hAnsi="仿宋_GB2312" w:eastAsia="仿宋_GB2312" w:cs="仿宋_GB2312"/>
                <w:bCs/>
                <w:kern w:val="0"/>
                <w:sz w:val="21"/>
                <w:szCs w:val="21"/>
                <w:lang w:val="en-US" w:eastAsia="zh-CN"/>
              </w:rPr>
            </w:pPr>
            <w:r>
              <w:rPr>
                <w:rFonts w:hint="eastAsia" w:ascii="仿宋_GB2312" w:hAnsi="仿宋_GB2312" w:eastAsia="仿宋_GB2312" w:cs="仿宋_GB2312"/>
                <w:bCs/>
                <w:kern w:val="0"/>
                <w:sz w:val="21"/>
                <w:szCs w:val="21"/>
                <w:lang w:val="en-US" w:eastAsia="zh-CN"/>
              </w:rPr>
              <w:t>10</w:t>
            </w:r>
          </w:p>
        </w:tc>
        <w:tc>
          <w:tcPr>
            <w:tcW w:w="4037" w:type="dxa"/>
            <w:vMerge w:val="restart"/>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漏电保护器</w:t>
            </w:r>
          </w:p>
        </w:tc>
        <w:tc>
          <w:tcPr>
            <w:tcW w:w="1573" w:type="dxa"/>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8536300000</w:t>
            </w:r>
          </w:p>
        </w:tc>
        <w:tc>
          <w:tcPr>
            <w:tcW w:w="5597" w:type="dxa"/>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电压</w:t>
            </w:r>
            <w:bookmarkStart w:id="1" w:name="OLE_LINK2"/>
            <w:r>
              <w:rPr>
                <w:rFonts w:hint="eastAsia" w:ascii="仿宋_GB2312" w:hAnsi="仿宋_GB2312" w:eastAsia="仿宋_GB2312" w:cs="仿宋_GB2312"/>
                <w:bCs/>
                <w:kern w:val="0"/>
                <w:sz w:val="21"/>
                <w:szCs w:val="21"/>
              </w:rPr>
              <w:t>≤</w:t>
            </w:r>
            <w:bookmarkEnd w:id="1"/>
            <w:r>
              <w:rPr>
                <w:rFonts w:hint="eastAsia" w:ascii="仿宋_GB2312" w:hAnsi="仿宋_GB2312" w:eastAsia="仿宋_GB2312" w:cs="仿宋_GB2312"/>
                <w:bCs/>
                <w:kern w:val="0"/>
                <w:sz w:val="21"/>
                <w:szCs w:val="21"/>
              </w:rPr>
              <w:t>1000伏其他电路保护装置</w:t>
            </w:r>
          </w:p>
        </w:tc>
        <w:tc>
          <w:tcPr>
            <w:tcW w:w="2077" w:type="dxa"/>
            <w:vMerge w:val="restart"/>
            <w:vAlign w:val="center"/>
          </w:tcPr>
          <w:p>
            <w:pPr>
              <w:widowControl/>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bCs/>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bCs/>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8536419000</w:t>
            </w:r>
          </w:p>
        </w:tc>
        <w:tc>
          <w:tcPr>
            <w:tcW w:w="5597" w:type="dxa"/>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36伏＜电压≤60伏的继电器</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bCs/>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bCs/>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8536490000</w:t>
            </w:r>
          </w:p>
        </w:tc>
        <w:tc>
          <w:tcPr>
            <w:tcW w:w="5597" w:type="dxa"/>
            <w:vAlign w:val="center"/>
          </w:tcPr>
          <w:p>
            <w:pPr>
              <w:widowControl/>
              <w:contextualSpacing/>
              <w:jc w:val="center"/>
              <w:textAlignment w:val="center"/>
              <w:rPr>
                <w:rFonts w:hint="eastAsia" w:ascii="仿宋_GB2312" w:hAnsi="仿宋_GB2312" w:eastAsia="仿宋_GB2312" w:cs="仿宋_GB2312"/>
                <w:bCs/>
                <w:kern w:val="0"/>
                <w:sz w:val="21"/>
                <w:szCs w:val="21"/>
              </w:rPr>
            </w:pPr>
            <w:r>
              <w:rPr>
                <w:rFonts w:hint="eastAsia" w:ascii="仿宋_GB2312" w:hAnsi="仿宋_GB2312" w:eastAsia="仿宋_GB2312" w:cs="仿宋_GB2312"/>
                <w:bCs/>
                <w:kern w:val="0"/>
                <w:sz w:val="21"/>
                <w:szCs w:val="21"/>
              </w:rPr>
              <w:t>电压大于60伏的继电器(用于电压不超过1000伏的线路)</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1</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断路器</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8535210000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电压＜72.5千伏自动断路器(用于电压超过1000伏的线路)</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8536200000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电压不超过1000伏自动断路器</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2</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熔断器</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8535100000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电路熔断器(电压＞1000伏)</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8536100000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熔断器(电压不超过1000伏)</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3</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低压开关（隔离器、隔离开关、熔断器组合电器）</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8535309000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其他隔离开关及断续开关(用于电压超过1000伏的线路)</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8536500000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电压≤1000伏的其他开关</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4</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其他电路保护装置</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8536300000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电压≤1000伏其他电路保护装置</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8535900090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其他电压&gt;1000伏电路开关等电气装置</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8536419000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36伏＜电压≤60伏的继电器</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8536490000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电压大于60伏的继电器(用于电压不超过1000伏的线路)</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5</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继电器</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8536419000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36伏&lt;电压≤60伏的继电器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8536490000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电压大于60伏的继电器(用于电压不超过1000伏的线路)</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6</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其他开关</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8536500000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电压≤1000伏的其他开关</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7</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其他装置</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8536300000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电压≤1000伏其他电路保护装置</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909" w:type="dxa"/>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8</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低压成套开关设备</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8537109090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其他电力控制或分配的装置(电压不超过1000伏的线路)</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1</w:t>
            </w:r>
            <w:r>
              <w:rPr>
                <w:rFonts w:hint="eastAsia" w:ascii="仿宋_GB2312" w:hAnsi="仿宋_GB2312" w:eastAsia="仿宋_GB2312" w:cs="仿宋_GB2312"/>
                <w:kern w:val="0"/>
                <w:sz w:val="21"/>
                <w:szCs w:val="21"/>
                <w:lang w:val="en-US" w:eastAsia="zh-CN"/>
              </w:rPr>
              <w:t>9</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小功率电动机</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8501520000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750W&lt;输出功率≤75KW的多相交流电动机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8501320000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750W&lt;输出功率≤75KW的直流电动机、发电机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8501510090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其他输出功率≤750W多相交流电动机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8501200000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输出功率＞37.5W的交直流两用电动机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8501310000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其他输出功率≤750瓦的直流电动机、发电机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8501400000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单相交流电动机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909" w:type="dxa"/>
            <w:vAlign w:val="center"/>
          </w:tcPr>
          <w:p>
            <w:pPr>
              <w:widowControl/>
              <w:contextualSpacing/>
              <w:jc w:val="center"/>
              <w:textAlignment w:val="center"/>
              <w:rPr>
                <w:rFonts w:hint="default"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20</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电钻</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8467210000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手提式电动钻</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09" w:type="dxa"/>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2</w:t>
            </w:r>
            <w:r>
              <w:rPr>
                <w:rFonts w:hint="eastAsia" w:ascii="仿宋_GB2312" w:hAnsi="仿宋_GB2312" w:eastAsia="仿宋_GB2312" w:cs="仿宋_GB2312"/>
                <w:kern w:val="0"/>
                <w:sz w:val="21"/>
                <w:szCs w:val="21"/>
                <w:lang w:val="en-US" w:eastAsia="zh-CN"/>
              </w:rPr>
              <w:t>1</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电动砂轮机</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8467291000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手提式电动砂磨工具</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2</w:t>
            </w:r>
            <w:r>
              <w:rPr>
                <w:rFonts w:hint="eastAsia" w:ascii="仿宋_GB2312" w:hAnsi="仿宋_GB2312" w:eastAsia="仿宋_GB2312" w:cs="仿宋_GB2312"/>
                <w:kern w:val="0"/>
                <w:sz w:val="21"/>
                <w:szCs w:val="21"/>
                <w:lang w:val="en-US" w:eastAsia="zh-CN"/>
              </w:rPr>
              <w:t>2</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电锤</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8467299000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其他手提式电动工具</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909" w:type="dxa"/>
            <w:vMerge w:val="restart"/>
            <w:vAlign w:val="center"/>
          </w:tcPr>
          <w:p>
            <w:pPr>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2</w:t>
            </w:r>
            <w:r>
              <w:rPr>
                <w:rFonts w:hint="eastAsia" w:ascii="仿宋_GB2312" w:hAnsi="仿宋_GB2312" w:eastAsia="仿宋_GB2312" w:cs="仿宋_GB2312"/>
                <w:kern w:val="0"/>
                <w:sz w:val="21"/>
                <w:szCs w:val="21"/>
                <w:lang w:val="en-US" w:eastAsia="zh-CN"/>
              </w:rPr>
              <w:t>3</w:t>
            </w:r>
          </w:p>
        </w:tc>
        <w:tc>
          <w:tcPr>
            <w:tcW w:w="4037" w:type="dxa"/>
            <w:vMerge w:val="restart"/>
            <w:vAlign w:val="center"/>
          </w:tcPr>
          <w:p>
            <w:pPr>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直流弧焊机</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8515319900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其他电弧(包括等离子弧)焊接机及装置(全自动或半自动的)</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8515390000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其他电弧(等离子弧)焊接机器及装置(非全自动或半自动)</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8515319100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螺旋焊管机[电弧（包括等离子弧）焊接式，全自动或半自动的]</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8515809090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其他焊接机器及装置</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9"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8515312000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电弧(包括等离子弧)焊接机器人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909"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2</w:t>
            </w:r>
            <w:r>
              <w:rPr>
                <w:rFonts w:hint="eastAsia" w:ascii="仿宋_GB2312" w:hAnsi="仿宋_GB2312" w:eastAsia="仿宋_GB2312" w:cs="仿宋_GB2312"/>
                <w:kern w:val="0"/>
                <w:sz w:val="21"/>
                <w:szCs w:val="21"/>
                <w:lang w:val="en-US" w:eastAsia="zh-CN"/>
              </w:rPr>
              <w:t>4</w:t>
            </w:r>
          </w:p>
        </w:tc>
        <w:tc>
          <w:tcPr>
            <w:tcW w:w="4037" w:type="dxa"/>
            <w:vMerge w:val="restart"/>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TIG弧焊机</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8515319900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其他电弧(包括等离子弧)焊接机及装置(全自动或半自动的)</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8515390000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其他电弧(等离子弧)焊接机器及装置(非全自动或半自动)</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8515319100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螺旋焊管机[电弧（包括等离子弧）焊接式，全自动或半自动的]</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8515809090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其他焊接机器及装置</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8515312000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电弧(包括等离子弧)焊接机器人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restart"/>
            <w:vAlign w:val="center"/>
          </w:tcPr>
          <w:p>
            <w:pPr>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2</w:t>
            </w:r>
            <w:r>
              <w:rPr>
                <w:rFonts w:hint="eastAsia" w:ascii="仿宋_GB2312" w:hAnsi="仿宋_GB2312" w:eastAsia="仿宋_GB2312" w:cs="仿宋_GB2312"/>
                <w:kern w:val="0"/>
                <w:sz w:val="21"/>
                <w:szCs w:val="21"/>
                <w:lang w:val="en-US" w:eastAsia="zh-CN"/>
              </w:rPr>
              <w:t>5</w:t>
            </w:r>
          </w:p>
        </w:tc>
        <w:tc>
          <w:tcPr>
            <w:tcW w:w="4037" w:type="dxa"/>
            <w:vMerge w:val="restart"/>
            <w:vAlign w:val="center"/>
          </w:tcPr>
          <w:p>
            <w:pPr>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MIG/MAG弧焊机</w:t>
            </w: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8515319900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其他电弧(包括等离子弧)焊接机及装置(全自动或半自动的)</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8515390000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其他电弧(等离子弧)焊接机器及装置(非全自动或半自动)</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8515319100</w:t>
            </w:r>
          </w:p>
        </w:tc>
        <w:tc>
          <w:tcPr>
            <w:tcW w:w="5597" w:type="dxa"/>
            <w:vAlign w:val="center"/>
          </w:tcPr>
          <w:p>
            <w:pPr>
              <w:widowControl/>
              <w:contextualSpacing/>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螺旋焊管机[电弧（包括等离子弧）焊接式，全自动或半自动的]</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8515809090</w:t>
            </w:r>
          </w:p>
        </w:tc>
        <w:tc>
          <w:tcPr>
            <w:tcW w:w="5597" w:type="dxa"/>
            <w:vAlign w:val="center"/>
          </w:tcPr>
          <w:p>
            <w:pPr>
              <w:widowControl/>
              <w:contextualSpacing/>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其他焊接机器及装置</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contextualSpacing/>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8515312000</w:t>
            </w:r>
          </w:p>
        </w:tc>
        <w:tc>
          <w:tcPr>
            <w:tcW w:w="559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电弧(包括等离子弧)焊接机器人</w:t>
            </w:r>
          </w:p>
        </w:tc>
        <w:tc>
          <w:tcPr>
            <w:tcW w:w="2077" w:type="dxa"/>
            <w:vMerge w:val="continue"/>
            <w:vAlign w:val="center"/>
          </w:tcPr>
          <w:p>
            <w:pPr>
              <w:widowControl/>
              <w:contextualSpacing/>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Align w:val="center"/>
          </w:tcPr>
          <w:p>
            <w:pPr>
              <w:widowControl/>
              <w:contextualSpacing/>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2</w:t>
            </w:r>
            <w:r>
              <w:rPr>
                <w:rFonts w:hint="eastAsia" w:ascii="仿宋_GB2312" w:hAnsi="仿宋_GB2312" w:eastAsia="仿宋_GB2312" w:cs="仿宋_GB2312"/>
                <w:kern w:val="0"/>
                <w:sz w:val="21"/>
                <w:szCs w:val="21"/>
                <w:lang w:val="en-US" w:eastAsia="zh-CN"/>
              </w:rPr>
              <w:t>6</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等离子弧切割机</w:t>
            </w:r>
          </w:p>
        </w:tc>
        <w:tc>
          <w:tcPr>
            <w:tcW w:w="1573" w:type="dxa"/>
            <w:vAlign w:val="center"/>
          </w:tcPr>
          <w:p>
            <w:pPr>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8456401000</w:t>
            </w:r>
          </w:p>
        </w:tc>
        <w:tc>
          <w:tcPr>
            <w:tcW w:w="5597" w:type="dxa"/>
            <w:vAlign w:val="center"/>
          </w:tcPr>
          <w:p>
            <w:pPr>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等离子切割机</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27</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家用电冰箱和食品冷冻箱</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8418101000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容积&gt;500升冷藏-冷冻组合机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w:t>
            </w:r>
            <w:r>
              <w:rPr>
                <w:rFonts w:hint="default" w:ascii="仿宋_GB2312" w:hAnsi="仿宋_GB2312" w:eastAsia="仿宋_GB2312" w:cs="仿宋_GB2312"/>
                <w:kern w:val="0"/>
                <w:sz w:val="21"/>
                <w:szCs w:val="21"/>
                <w:lang w:val="en-US"/>
              </w:rPr>
              <w:t>2020</w:t>
            </w:r>
            <w:r>
              <w:rPr>
                <w:rFonts w:hint="eastAsia" w:ascii="仿宋_GB2312" w:hAnsi="仿宋_GB2312" w:eastAsia="仿宋_GB2312" w:cs="仿宋_GB2312"/>
                <w:kern w:val="0"/>
                <w:sz w:val="21"/>
                <w:szCs w:val="21"/>
              </w:rPr>
              <w:t>年</w:t>
            </w:r>
            <w:r>
              <w:rPr>
                <w:rFonts w:hint="default" w:ascii="仿宋_GB2312" w:hAnsi="仿宋_GB2312" w:eastAsia="仿宋_GB2312" w:cs="仿宋_GB2312"/>
                <w:kern w:val="0"/>
                <w:sz w:val="21"/>
                <w:szCs w:val="21"/>
                <w:lang w:val="en-US"/>
              </w:rPr>
              <w:t>10</w:t>
            </w:r>
            <w:r>
              <w:rPr>
                <w:rFonts w:hint="eastAsia" w:ascii="仿宋_GB2312" w:hAnsi="仿宋_GB2312" w:eastAsia="仿宋_GB2312" w:cs="仿宋_GB2312"/>
                <w:kern w:val="0"/>
                <w:sz w:val="21"/>
                <w:szCs w:val="21"/>
              </w:rPr>
              <w:t>月</w:t>
            </w:r>
            <w:r>
              <w:rPr>
                <w:rFonts w:hint="default" w:ascii="仿宋_GB2312" w:hAnsi="仿宋_GB2312" w:eastAsia="仿宋_GB2312" w:cs="仿宋_GB2312"/>
                <w:kern w:val="0"/>
                <w:sz w:val="21"/>
                <w:szCs w:val="21"/>
                <w:lang w:val="en-US"/>
              </w:rPr>
              <w:t>1</w:t>
            </w:r>
            <w:r>
              <w:rPr>
                <w:rFonts w:hint="eastAsia" w:ascii="仿宋_GB2312" w:hAnsi="仿宋_GB2312" w:eastAsia="仿宋_GB2312" w:cs="仿宋_GB2312"/>
                <w:kern w:val="0"/>
                <w:sz w:val="21"/>
                <w:szCs w:val="21"/>
              </w:rPr>
              <w:t>日起，</w:t>
            </w:r>
            <w:r>
              <w:rPr>
                <w:rFonts w:hint="eastAsia" w:ascii="仿宋_GB2312" w:hAnsi="仿宋_GB2312" w:eastAsia="仿宋_GB2312" w:cs="仿宋_GB2312"/>
                <w:kern w:val="0"/>
                <w:sz w:val="21"/>
                <w:szCs w:val="21"/>
                <w:lang w:eastAsia="zh-CN"/>
              </w:rPr>
              <w:t>对于</w:t>
            </w:r>
            <w:r>
              <w:rPr>
                <w:rFonts w:hint="eastAsia" w:ascii="仿宋_GB2312" w:hAnsi="仿宋_GB2312" w:eastAsia="仿宋_GB2312" w:cs="仿宋_GB2312"/>
                <w:kern w:val="0"/>
                <w:sz w:val="21"/>
                <w:szCs w:val="21"/>
              </w:rPr>
              <w:t>标定容积</w:t>
            </w:r>
            <w:r>
              <w:rPr>
                <w:rFonts w:hint="default" w:ascii="仿宋_GB2312" w:hAnsi="仿宋_GB2312" w:eastAsia="仿宋_GB2312" w:cs="仿宋_GB2312"/>
                <w:kern w:val="0"/>
                <w:sz w:val="21"/>
                <w:szCs w:val="21"/>
                <w:lang w:val="en-US"/>
              </w:rPr>
              <w:t>500L</w:t>
            </w:r>
            <w:r>
              <w:rPr>
                <w:rFonts w:hint="eastAsia" w:ascii="仿宋_GB2312" w:hAnsi="仿宋_GB2312" w:eastAsia="仿宋_GB2312" w:cs="仿宋_GB2312"/>
                <w:kern w:val="0"/>
                <w:sz w:val="21"/>
                <w:szCs w:val="21"/>
              </w:rPr>
              <w:t>以上家用电冰箱</w:t>
            </w:r>
            <w:r>
              <w:rPr>
                <w:rFonts w:hint="eastAsia" w:ascii="仿宋_GB2312" w:hAnsi="仿宋_GB2312" w:eastAsia="仿宋_GB2312" w:cs="仿宋_GB2312"/>
                <w:kern w:val="0"/>
                <w:sz w:val="21"/>
                <w:szCs w:val="21"/>
                <w:lang w:eastAsia="zh-CN"/>
              </w:rPr>
              <w:t>和食品冷冻箱</w:t>
            </w:r>
            <w:r>
              <w:rPr>
                <w:rFonts w:hint="eastAsia" w:ascii="仿宋_GB2312" w:hAnsi="仿宋_GB2312" w:eastAsia="仿宋_GB2312" w:cs="仿宋_GB2312"/>
                <w:kern w:val="0"/>
                <w:sz w:val="21"/>
                <w:szCs w:val="21"/>
              </w:rPr>
              <w:t>产品</w:t>
            </w:r>
            <w:r>
              <w:rPr>
                <w:rFonts w:hint="eastAsia" w:ascii="仿宋_GB2312" w:hAnsi="仿宋_GB2312" w:eastAsia="仿宋_GB2312" w:cs="仿宋_GB2312"/>
                <w:kern w:val="0"/>
                <w:sz w:val="21"/>
                <w:szCs w:val="21"/>
                <w:lang w:eastAsia="zh-CN"/>
              </w:rPr>
              <w:t>，应当经过</w:t>
            </w:r>
            <w:r>
              <w:rPr>
                <w:rFonts w:hint="eastAsia" w:ascii="仿宋_GB2312" w:hAnsi="仿宋_GB2312" w:eastAsia="仿宋_GB2312" w:cs="仿宋_GB2312"/>
                <w:kern w:val="0"/>
                <w:sz w:val="21"/>
                <w:szCs w:val="21"/>
              </w:rPr>
              <w:t>强制性产品认证</w:t>
            </w:r>
            <w:r>
              <w:rPr>
                <w:rFonts w:hint="eastAsia" w:ascii="仿宋_GB2312" w:hAnsi="仿宋_GB2312" w:eastAsia="仿宋_GB2312" w:cs="仿宋_GB2312"/>
                <w:kern w:val="0"/>
                <w:sz w:val="21"/>
                <w:szCs w:val="21"/>
                <w:lang w:eastAsia="zh-CN"/>
              </w:rPr>
              <w:t>并</w:t>
            </w:r>
            <w:r>
              <w:rPr>
                <w:rFonts w:hint="eastAsia" w:ascii="仿宋_GB2312" w:hAnsi="仿宋_GB2312" w:eastAsia="仿宋_GB2312" w:cs="仿宋_GB2312"/>
                <w:kern w:val="0"/>
                <w:sz w:val="21"/>
                <w:szCs w:val="21"/>
              </w:rPr>
              <w:t>标注认证标志</w:t>
            </w:r>
            <w:r>
              <w:rPr>
                <w:rFonts w:hint="eastAsia" w:ascii="仿宋_GB2312" w:hAnsi="仿宋_GB2312" w:eastAsia="仿宋_GB2312" w:cs="仿宋_GB2312"/>
                <w:kern w:val="0"/>
                <w:sz w:val="21"/>
                <w:szCs w:val="21"/>
                <w:lang w:eastAsia="zh-CN"/>
              </w:rPr>
              <w:t>后</w:t>
            </w:r>
            <w:r>
              <w:rPr>
                <w:rFonts w:hint="eastAsia" w:ascii="仿宋_GB2312" w:hAnsi="仿宋_GB2312" w:eastAsia="仿宋_GB2312" w:cs="仿宋_GB2312"/>
                <w:kern w:val="0"/>
                <w:sz w:val="21"/>
                <w:szCs w:val="21"/>
              </w:rPr>
              <w:t>，</w:t>
            </w:r>
            <w:r>
              <w:rPr>
                <w:rFonts w:hint="eastAsia" w:ascii="仿宋_GB2312" w:hAnsi="仿宋_GB2312" w:eastAsia="仿宋_GB2312" w:cs="仿宋_GB2312"/>
                <w:kern w:val="0"/>
                <w:sz w:val="21"/>
                <w:szCs w:val="21"/>
                <w:lang w:eastAsia="zh-CN"/>
              </w:rPr>
              <w:t>方可</w:t>
            </w:r>
            <w:r>
              <w:rPr>
                <w:rFonts w:hint="eastAsia" w:ascii="仿宋_GB2312" w:hAnsi="仿宋_GB2312" w:eastAsia="仿宋_GB2312" w:cs="仿宋_GB2312"/>
                <w:kern w:val="0"/>
                <w:sz w:val="21"/>
                <w:szCs w:val="21"/>
              </w:rPr>
              <w:t>出厂、销售、进口</w:t>
            </w:r>
            <w:r>
              <w:rPr>
                <w:rFonts w:hint="eastAsia" w:ascii="仿宋_GB2312" w:hAnsi="仿宋_GB2312" w:eastAsia="仿宋_GB2312" w:cs="仿宋_GB2312"/>
                <w:kern w:val="0"/>
                <w:sz w:val="21"/>
                <w:szCs w:val="21"/>
                <w:lang w:eastAsia="zh-CN"/>
              </w:rPr>
              <w:t>或者</w:t>
            </w:r>
            <w:r>
              <w:rPr>
                <w:rFonts w:hint="eastAsia" w:ascii="仿宋_GB2312" w:hAnsi="仿宋_GB2312" w:eastAsia="仿宋_GB2312" w:cs="仿宋_GB2312"/>
                <w:kern w:val="0"/>
                <w:sz w:val="21"/>
                <w:szCs w:val="21"/>
              </w:rPr>
              <w:t>在其他经营活动中使用）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8418102000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200＜容积≤500升冷藏冷冻组合机(各自装有单独外门的)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8418103000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容积≤200升冷藏-冷冻组合机(各自装有单独外门的)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8418211000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容积＞150升压缩式家用型冷藏箱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8418212000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压缩式家用型冷藏箱(50＜容积≤150升)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8418213000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容积≤50升压缩式家用型冷藏箱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8418291000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半导体制冷式家用型冷藏箱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8418292000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电气吸收式家用型冷藏箱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8418299000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其他家用型冷藏箱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8418301000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制冷温度≤-40℃的柜式冷冻箱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8418302100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制冷温度&gt;-40℃大的其他柜式冷冻箱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8418302900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制冷温度＞-40℃小的其他柜式冷冻箱(小的指容积≤500升)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8418401000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制冷温度≤-40℃的立式冷冻箱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8418402100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制冷温度&gt;-40℃大的立式冷冻箱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8418402900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制冷温度＞-40℃小的立式冷冻箱(小的指容积≤500升)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8418500000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装有冷藏或冷冻装置的其他设备,用于存储及展示(包括柜、箱、展示台、陈列箱及类似品)</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电风扇</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功率≤125w的吊扇(本身装有一个输出功率不超过125w的电动机)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其他功率≤125w的换气扇(装有一个输出功率≤125w电动机)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功率≤125w有旋转导风轮的风扇(本身装有一个输出功率不超过125w的电动机)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8414519100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功率≤125w的台扇(本身装有一个输出功率不超过125w的电动机)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8414519200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功率≤125w的落地扇(本身装有一个输出功率不超过125w的电动机)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8414519300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功率≤125w的壁扇(本身装有一个输出功率不超过125w的电动机)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8414519900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其他功率≤125w其他风机、风扇(本身装有一个输出功率不超过125w的电动机)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其他吊扇(电动机输出功率超过125w的)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8414592000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其他换气扇(电动机输出功率超过125w的)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8414599091</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其他台扇、落地扇、壁扇（电动机输出功率超过125瓦的）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29</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空调器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8415101000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独立式空气调节器，窗式、壁式、置于天花板或地板上的(装有电扇及调温、调湿装置,包括不能单独调湿的空调器)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8415102100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制冷量≤4千大卡/时分体式空调,窗式、壁式、置于天花板或地板上的(装有电扇及调温、调湿装置,包括不能单独调湿的空调器)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8415102210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4000大卡/时＜制冷量≤12046大卡/时（14000W）分体式空调，窗式、壁式、置于天花板或地板上的(装有电扇及调温、调湿装置,包括不能单独调湿的空调器)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8415102290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其他制冷量＞12046大卡/时(14000W)分体式空调,窗式、壁式、置于天花板或地板上的(装有电扇及调温、调湿装置,包括不能单独调湿的空调器)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8415811000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制冷量≤4千大卡/时热泵式空调器(装有制冷装置及一个冷热循环换向阀的)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8415812001</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4000大卡/时＜制冷量≤12046大卡/时（14000W）热泵式空调器(装有制冷装置及一个冷热循环换向阀的)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8415812090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其他制冷量＞12046大卡/时(14000W)热泵式空调器(装有制冷装置及一个冷热循环换向阀的)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8415821000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制冷量≤4千大卡/时的其他空调器(仅装有制冷装置,而无冷热循环装置的)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8415822001</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4000大卡＜制冷量≤12046大卡/时（14000W）的其他空调(仅装有制冷装置,而无冷热循环装置的)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8415822090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其他制冷量＞12046大卡/时(14000W)的其他空调(仅装有制冷装置,而无冷热循环装置的)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8479892000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空气增湿器及减湿器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30</w:t>
            </w:r>
          </w:p>
        </w:tc>
        <w:tc>
          <w:tcPr>
            <w:tcW w:w="4037" w:type="dxa"/>
            <w:vMerge w:val="restart"/>
            <w:tcBorders>
              <w:top w:val="single" w:color="auto" w:sz="4" w:space="0"/>
              <w:left w:val="single" w:color="auto" w:sz="4" w:space="0"/>
              <w:right w:val="single" w:color="auto" w:sz="4" w:space="0"/>
            </w:tcBorders>
            <w:vAlign w:val="center"/>
          </w:tcPr>
          <w:p>
            <w:pPr>
              <w:widowControl/>
              <w:ind w:firstLine="612" w:firstLineChars="300"/>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电动机―压缩机</w:t>
            </w: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8414301100</w:t>
            </w:r>
          </w:p>
        </w:tc>
        <w:tc>
          <w:tcPr>
            <w:tcW w:w="55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电动机额定功率≤0.4kw冷藏或冷冻箱用压缩机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tcBorders>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8414301200</w:t>
            </w:r>
          </w:p>
        </w:tc>
        <w:tc>
          <w:tcPr>
            <w:tcW w:w="55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其他电驱动冷藏或冷冻箱用压缩机(指0.4千瓦＜电动机额定功率≤5千瓦)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tcBorders>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8414301300</w:t>
            </w:r>
          </w:p>
        </w:tc>
        <w:tc>
          <w:tcPr>
            <w:tcW w:w="55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电动机额定功率&gt;0.4kw，但≤5kw的空调器用压缩机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tcBorders>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8414301900</w:t>
            </w:r>
          </w:p>
        </w:tc>
        <w:tc>
          <w:tcPr>
            <w:tcW w:w="55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电动机驱动其他用于制冷设备的压缩机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31</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家用电动洗衣机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8450111000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干衣量≤10kg全自动波轮式洗衣机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8450112000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干衣量≤10kg全自动滚筒式洗衣机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8450119000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其他干衣量≤10kg的全自动洗衣机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8450120000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装有离心甩干机的非全自动洗衣机(干衣量≤10千克)</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8450190000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干衣量≤10kg的其他洗衣机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8421121000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干衣量不超过10千克的离心干衣机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8421191000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脱水机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32</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电热水器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8516101000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储存式电热水器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8516102000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即热式电热水器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8516109000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其他电热水器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33</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室内加热器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8516299000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电气空间加热器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8516292000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辐射式空间加热器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8516293900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其他对流式空间加热器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8516293100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风扇式对流空间加热器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8516293200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充液式对流空间加热器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34</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真空吸尘器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8508110000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电动的真空吸尘器(功率不超过1500瓦,且带有容积不超过20升的集尘袋或其他集尘容器)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8508190000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其他电动的真空吸尘器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35</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皮肤和毛发护理器具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8516310000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电吹风机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8516320000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其他电热理发器具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8516330000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电热干手器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36</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电熨斗</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8516400000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电熨斗</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37</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电磁灶</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8516601000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电磁炉</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电烤箱（便携式烤架、面包片烘烤器及类似烹调器具）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8516605000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电烤箱</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8516609000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其他电热炉(包括电热板、加热环、烧烤炉及烘烤器)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8516721000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家用自动面包机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8516722000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片式烤面包机(多士炉)</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8516729000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其他电热烤面包器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39</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电动食品加工器具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8509401000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水果或蔬菜的榨汁机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8509409000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食品研磨机,搅拌器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8509809000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其他家用电动器具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微波炉</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8516500000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微波炉</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41</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电灶、灶台、烤炉和类似器具（驻立式电烤箱、固定式烤架及类似烹调器具）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其他电热器具</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8516609000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其他电热炉(包括电热板、加热环、烧烤炉及烘烤器)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42</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吸油烟机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8414601000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抽油烟机（指罩的平面最大边长不超过120厘米,装有风扇的）</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43</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液体加热器和冷热饮水机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滴液式咖啡机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8516712000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蒸馏渗滤式咖啡机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8516713000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泵压式咖啡机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其他电热咖啡机和茶壶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8419810000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加工热饮料,烹调,加热食品的机器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8516791000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电热饮水机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44</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电饭锅</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8516603000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电饭锅</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45</w:t>
            </w:r>
          </w:p>
        </w:tc>
        <w:tc>
          <w:tcPr>
            <w:tcW w:w="4037" w:type="dxa"/>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电热毯、电热垫及柔性发热器具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6301100000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电暖毯</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46</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总输出功率在500W（有效值）以下的单扬声器和多扬声器有源音箱</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8518210000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单喇叭音箱</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highlight w:val="yellow"/>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8518220000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多喇叭音箱</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47</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音频功率放大器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8518400090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其他音频扩大器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highlight w:val="yellow"/>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8518500000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电气扩音机组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各类载体形式的音视频录制播放及处理设备(包括各类光盘、磁带、硬盘、等载体形式)</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8517629900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其他接收、转换并发送或再生音像或其他数据用的设备</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8519200010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以特定支付方式使其工作的激光唱机(用硬币、钞票、银行卡、代币或其他支付方式使其工作)</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8519200090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其他以特定支付方式使其工作的声音录制或重放设备(用硬币、钞票、银行卡、代币或其他支付方式使其工作)</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8519811100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未装有声音录制装置的盒式磁带型声音重放装置（编辑节目用放声机除外)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8519811200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装有声音重放装置的盒式磁带型录音机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8519811900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其他使用磁性媒体的声音录制或重放设备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激光唱机,未装有声音录制装置</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8519812910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具有录音功能的激光唱机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8519812990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其他使用光学媒体的声音录制或重放设备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8519813100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装有声音重放装置的闪速存储器型声音录制设备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8519813900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其他使用半导体媒体的声音录制或重放设备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不带录制装置的其他唱机,不论是否带有扬声器(使用磁性、光学或半导体媒体的除外)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8519899000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其他声音录制或重放设备(使用磁性、光学或半导体媒体的除外)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8521901110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具有录制功能的视频高密光盘(VCD)播放机(不论是否装有高频调谐放大器)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8521901190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其他视频高密光盘(VCD)播放机(不论是否装有高频调谐放大器)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8521901290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其他数字化视频光盘(DVD)播放机(不论是否装有高频调谐放大器)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8521901910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具有录制功能的其他激光视盘播放机(不论是否装有高频调谐放大器)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8521901990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其他激光视盘播放机(不论是否装有高频调谐放大器)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8521909090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其他视频信号录制或重放设备(不论是否装有高频调谐放大器)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49</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以上四种设备的组合</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8527910000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其他收录(放)音组合机</w:t>
            </w:r>
          </w:p>
        </w:tc>
        <w:tc>
          <w:tcPr>
            <w:tcW w:w="2077" w:type="dxa"/>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909" w:type="dxa"/>
            <w:vMerge w:val="restart"/>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w:t>
            </w:r>
          </w:p>
        </w:tc>
        <w:tc>
          <w:tcPr>
            <w:tcW w:w="4037" w:type="dxa"/>
            <w:vMerge w:val="restart"/>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音视频设备配套的电源适配器(含充/放电器)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8504401990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其他稳压电源</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8504401400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功率＜1千瓦直流稳压电源(稳压系数低于万分之一,品目84.71所列机器用除外)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51</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各种成像方式的彩色电视接收机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彩色的卫星电视接收机(在设计上不带有视频显示器或屏幕的)</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8528718000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其他彩色的电视接收装置（在设计上不带有视频显示器或屏幕的）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8528721100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其他彩色的模拟电视接收机，带阴极射线显像管的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8528721200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其他彩色的数字电视接收机,阴极射线显像管的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8528721900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其他彩色的电视接收机,阴极射线显像管的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彩色的液晶显示器的模拟电视接收机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8528722200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彩色的液晶显示器的数字电视接收机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其他彩色的液晶显示器的电视接收机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8528723100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彩色的等离子显示器的模拟电视接收机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8528723200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彩色的等离子显示器的数字电视接收机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8528723900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其他彩色的等离子显示器的电视接收机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8528729100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其他彩色的模拟电视接收机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8528729200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其他彩色的数字电视接收机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8528729900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其他彩色的电视接收机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8529901011</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卫星电视接收用解码器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8528691000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其他彩色的投影机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8528699000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其他单色的投影机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52</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录像机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8521101900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其他磁带型录像机(不论是否装有高频调谐放大器)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8521102000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磁带放像机(不论是否装有高频调谐放大器)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8521901210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具有录制功能的数字化视频光盘(DVD)播放机(不论是否装有高频调谐放大器)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53</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电子琴</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9207100000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通过电产生或扩大声音的键盘乐器(手风琴除外)</w:t>
            </w:r>
          </w:p>
        </w:tc>
        <w:tc>
          <w:tcPr>
            <w:tcW w:w="2077" w:type="dxa"/>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54</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微型计算机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8471414000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微型机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8471412000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小型自动数据处理设备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其他数据处理设备(同一机壳内至少有一个CPU和一个输入输出部件;包括组合式)</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8471492000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以系统形式报验的小型计算机(计算机指自动数据处理设备)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8471494000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以系统形式报验的微型机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8471499900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以系统形式报验的其他计算机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8471900090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未列名的磁性或光学阅读器（包括将数据以代码形式转录的机器及处理这些数据的机器）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8472901000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自动柜员机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8471504001</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含显示器和主机的微型机(不论是否在同一机壳内有一或两个存储,输入或输出部件)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8470501000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销售点终端出纳机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8470509000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其他现金出纳机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55</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便携式计算机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8471301000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平板电脑(重量≤10千克,至少由一个中央处理器、键盘和显示器组成)</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8471309000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其他便携式自动数据处理设备(重量≤10千克,至少由一个中央处理器、键盘和显示器组成)</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56</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与计算机连用的显示设备</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8528420000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可直接连接且设计用于税目84.71的自动数据处理设备的阴极射线管监视器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8528521100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专用或主要用于品目84.71商品的液晶监视器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8528521200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其他可直接连接且设计用于税目84.71的自动数据处理设备的彩色液晶监视器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8528521900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其他可直接连接且设计用于税目84.71的自动数据处理设备的单色液晶监视器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8528529100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专用或主要用于品目84.71商品的其他彩色监视器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8528529200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其他可直接连接且设计用于税目84.71的自动数据处理设备的其他彩色监视器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8528529900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其他可直接连接且设计用于税目84.71的自动数据处理设备的其他单色监视器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8528621010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专用或主要用于品目84.71商品的彩色投影机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8528621090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其他专用或主要用于品目84.71商品的投影机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8528691000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其他彩色的投影机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8528622000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其他可直接连接且设计用于税目84.71的自动数据处理设备的彩色投影机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8528629000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其他可直接连接且设计用于税目84.71的自动数据处理设备的单色投影机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8528699000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其他单色的投影机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57</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与计算机相连的打印设备</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8443321100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专用于品目84.71所列设备的针式打印机(可与自动数据处理设备或网络连接)</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8443321200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专用于品目84.71所列设备的激光打印机(可与自动数据处理设备或网络连接)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8443321300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专用于品目84.71所列设备的喷墨打印机(可与自动数据处理设备或网络连接)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8443321400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专用于品目84.71所列设备的热敏打印机(可与自动数据处理设备或网络连接)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8443321900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专用于品目84.71所列设备的其他打印机(可与自动数据处理设备或网络连接)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8472100000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胶版复印机、油印机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8443329090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其他印刷(打印)机、复印机、传真机和电传打字机(可与自动数据处理设备或网络连接)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多用途打印复印机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8443311090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其他静电感光式多功能一体机(可与自动数据处理设备或网络连接)</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8443311010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静电感光式多功能一体加密传真机(可与自动数据处理设备或网络连接)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8443319010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其他具有打印和复印两种功能的机器(可与自动数据处理设备或网络连接)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8443319090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其他具有打印、复印或传真中两种及以上功能的机器(具有打印和复印两种功能的机器除外,可与自动数据处理设备或网络连接)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59</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扫描仪</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8471605000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自动数据处理设备的扫描器</w:t>
            </w:r>
          </w:p>
        </w:tc>
        <w:tc>
          <w:tcPr>
            <w:tcW w:w="2077" w:type="dxa"/>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60</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计算机内置电源及电源适配器充电器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8504401300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品目84.71所列机器用的稳压电源</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8504401990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其他稳压电源</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61</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服务器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8471414000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微型机</w:t>
            </w:r>
          </w:p>
        </w:tc>
        <w:tc>
          <w:tcPr>
            <w:tcW w:w="2077" w:type="dxa"/>
            <w:vAlign w:val="center"/>
          </w:tcPr>
          <w:p>
            <w:pPr>
              <w:widowControl/>
              <w:jc w:val="center"/>
              <w:textAlignment w:val="center"/>
              <w:rPr>
                <w:rFonts w:hint="eastAsia"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rPr>
              <w:t>第三方认证方式</w:t>
            </w:r>
            <w:r>
              <w:rPr>
                <w:rFonts w:hint="eastAsia" w:ascii="仿宋_GB2312" w:hAnsi="仿宋_GB2312" w:eastAsia="仿宋_GB2312" w:cs="仿宋_GB2312"/>
                <w:kern w:val="0"/>
                <w:sz w:val="21"/>
                <w:szCs w:val="21"/>
                <w:lang w:val="en-US" w:eastAsia="zh-CN"/>
              </w:rPr>
              <w:t>/</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62</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灯具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9405100000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枝形吊灯(包括天花板或墙壁上的照明装置，但露天或街道上的除外)</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9405200010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含濒危物种成分的电气台灯、床头灯、落地灯</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9405200090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其他电气台灯、床头灯、落地灯</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63</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镇流器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8504101000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电子镇流器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8504109000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其他放电灯或放电管用镇流器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64</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8702109100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30座及以上仅装有压燃式活塞内燃发动机（柴油或半柴油发动机）的大型客车</w:t>
            </w:r>
          </w:p>
        </w:tc>
        <w:tc>
          <w:tcPr>
            <w:tcW w:w="2077" w:type="dxa"/>
            <w:vMerge w:val="restart"/>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8702109210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20≤座≤23仅装有压燃式活塞内燃发动机（柴油或半柴油发动机）的客车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8702109290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24≤座≤29仅装有压燃式活塞内燃发动机（柴油或半柴油发动机）的客车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8702109300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10≤座≤19仅装有压燃式活塞内燃发动机（柴油或半柴油发动机）的客车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8702209100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30座及以上同时装有压燃式活塞内燃发动机（柴油或半柴油发动机）及驱动电动机的大型客车(指装有柴油或半柴油发动机的30座及以上的客运车)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8702209210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20≤座≤23同时装有压燃式活塞内燃发动机（柴油或半柴油发动机）及驱动电动机的客车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8702209290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24≤座≤29同时装有压燃式活塞内燃发动机（柴油或半柴油发动机）及驱动电动机的客车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8702209300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10≤座≤19同时装有压燃式活塞内燃发动机（柴油或半柴油发动机）及驱动电动机的客车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8702301000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30座及以上同时装有点燃往复式活塞内燃发动机及驱动电动机的大型客车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8702302010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20≤座≤23同时装有点燃往复式活塞内燃发动机及驱动电动机的客车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8702302090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24≤座≤29同时装有点燃往复式活塞内燃发动机及驱动电动机的客车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8702303000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10≤座≤19同时装有点燃往复式活塞内燃发动机及驱动电动机的客车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8702401000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30座及以上仅装有驱动电动机的大型客车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8702402010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20≤座≤23仅装有驱动电动机的客车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8702402090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24≤座≤29仅装有驱动电动机的客车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8702403000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10≤座≤19仅装有驱动电动机的客车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8702901000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30座及以上大型客车(其他型)(指装有其他发动机的30座及以上的客运车)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8702902001</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20≤座≤23装有非压燃式活塞内燃发动机的客车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8702902090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24≤座≤29装有非压燃式活塞内燃发动机的客车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8702903000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10≤座≤19装有非压燃式活塞内燃发动机的客车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8703213010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仅装有排量≤1升的点燃往复式活塞内燃发动机的小轿车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8703214010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仅装有排量≤1升的点燃往复式活塞内燃发动机的越野车(4轮驱动)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8703215010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仅装有排量≤1升的点燃往复式活塞内燃发动机的小客车(9座及以下)</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8703219010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仅装有排量≤1升的点燃往复式活塞内燃发动机的其他载人车辆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8703223010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仅装有1＜排量≤1.5升点燃往复式活塞内燃发动机小轿车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8703224010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仅装有1＜排量≤1.5升点燃往复活塞内燃发动机四轮驱动越野车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8703225010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仅装有1＜排量≤1.5升点燃往复式活塞内燃发动机小客车(≤9座)</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8703229010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仅装有1＜排量≤1.5升点燃往复式活塞内燃发动机其他载人车辆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8703234110</w:t>
            </w:r>
          </w:p>
        </w:tc>
        <w:tc>
          <w:tcPr>
            <w:tcW w:w="5597" w:type="dxa"/>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仅装有1.5＜排量≤2升的点燃往复式活塞内燃发动机小轿</w:t>
            </w:r>
            <w:r>
              <w:rPr>
                <w:rFonts w:hint="eastAsia" w:ascii="仿宋_GB2312" w:hAnsi="仿宋_GB2312" w:eastAsia="仿宋_GB2312" w:cs="仿宋_GB2312"/>
                <w:sz w:val="21"/>
                <w:szCs w:val="21"/>
                <w:lang w:eastAsia="zh-CN"/>
              </w:rPr>
              <w:t>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8703234210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仅装有1.5＜排量≤2升的点燃往复式活塞内燃发动机越野车(4轮驱动)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8703234310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仅装有1.5＜排量≤2升的点燃往复式活塞内燃发动机小客车(9座及以下的)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8703234910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仅装有1.5＜排量≤2升的点燃往复式活塞内燃发动机的其他载人车辆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8703235110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仅装有2＜排量≤2.5升的点燃往复式活塞内燃发动机小轿车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8703235210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仅装有2＜排量≤2.5升的点燃往复式活塞内燃发动机越野车(4轮驱动)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8703235310</w:t>
            </w:r>
          </w:p>
        </w:tc>
        <w:tc>
          <w:tcPr>
            <w:tcW w:w="5597" w:type="dxa"/>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仅装有2＜排量≤2.5升的点燃往复式活塞内燃发动机小客车(9座及以下的)</w:t>
            </w:r>
            <w:r>
              <w:rPr>
                <w:rFonts w:hint="eastAsia" w:ascii="仿宋_GB2312" w:hAnsi="仿宋_GB2312" w:eastAsia="仿宋_GB2312" w:cs="仿宋_GB2312"/>
                <w:kern w:val="0"/>
                <w:sz w:val="21"/>
                <w:szCs w:val="21"/>
              </w:rPr>
              <w:t xml:space="preserve"> </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8703235910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仅装有2＜排量≤2.5升的点燃往复式活塞内燃发动机的其他载人车辆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8703236110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仅装有2.5＜排量≤3升的点燃往复式活塞内燃发动机小轿车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8703236210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仅装有2.5＜排量≤3升的点燃往复式活塞内燃发动机越野车(4轮驱动)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8703236310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仅装有2.5＜排量≤3升的点燃往复式活塞内燃发动机小客车(9座及以下的)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8703236910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仅装有2.5＜排量≤3升的点燃往复式活塞内燃发动机的其他载人车辆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8703241110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仅装有3＜排量≤4升的点燃往复式活塞内燃发动机小轿车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8703241210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仅装有3＜排量≤4升的点燃往复式活塞内燃发动机越野车(4轮驱动)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8703241310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仅装有3＜排量≤4升的点燃往复式活塞内燃发动机的小客车(9座及以下的)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8703241910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仅装有3＜排量≤4升的点燃往复式活塞内燃发动机的其他载人车辆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8703242110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仅装有排气量＞4升的点燃往复式活塞内燃发动机小轿车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8703242210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仅装有排气量＞4升的点燃往复式活塞内燃发动机越野车(4轮驱动)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8703242310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仅装有排气量＞4升的点燃往复式活塞内燃发动机的小客车(9座及以下的)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8703242910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仅装有排气量＞4升的点燃往复式活塞内燃发动机的其他载人车辆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8703311110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仅装有排气量≤1升的压燃式活塞内燃发动机小轿车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8703311910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仅装有排气量≤1升的压燃式活塞内燃发动机的其他载人车辆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8703312110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仅装有1升&lt;排气量≤1.5升的压燃式活塞内燃发动机小轿车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8703312210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仅装有1升&lt;排气量≤1.5升的压燃式活塞内燃发动机越野车(4轮驱动)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8703312310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仅装有1升&lt;排气量≤1.5升的压燃式活塞内燃发动机小客车(9座及以下的)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8703312910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仅装有1升&lt;排气量≤1.5升的压燃式活塞内燃发动机的其他载人车辆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8703321110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8703321210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仅装有1.5＜排量≤2升的压燃式活塞内燃发动机越野车(4轮驱动)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8703321310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仅装有1.5＜排量≤2升的装压燃式活塞内燃发动机小客车(9座及以下的)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8703321910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仅装有1.5＜排量≤2升的压燃式活塞内燃发动机的其他载人车辆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8703322110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8703322210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仅装有2＜排量≤2.5升的燃式活塞内燃发动机越野车(4轮驱动)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8703322310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仅装有2＜排量≤2.5升的燃式活塞内燃发动机小客车(9座及以下的)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8703322910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仅装有2＜排量≤2.5升的压燃式活塞内燃发动机的其他载人车辆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8703331110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8703331210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仅装有2.5＜排量≤3升的压燃式活塞内燃发动机越野车(4轮驱动)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8703331310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仅装有2.5＜排量≤3升的压燃式活塞内燃发动机小客车(9座及以下的)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8703331910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仅装有2.5＜排量≤3升的压燃式活塞内燃发动机的其他载人车辆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8703332110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8703332210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仅装有3＜排量≤4升的压燃式活塞内燃发动机越野车(4轮驱动)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8703332310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仅装有3＜排量≤4升的压燃式活塞内燃发动机小客车(9座及以下的)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8703332910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仅装有3＜排量≤4升的压燃式活塞内燃发动机的其他载人车辆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8703336110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仅装有排量＞4升的压燃式活塞内燃发动机小轿车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8703336210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仅装有排量＞4升的压燃式活塞内燃发动机越野车(4轮驱动)</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8703336310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仅装有排量＞4升的压燃式活塞内燃发动机小客车(9座及以下的)</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8703336910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仅装有排量＞4升的压燃式活塞内燃发动机其他载人车辆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8703401110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同时装有点燃往复式活塞内燃发动机（排量≤1升）及驱动电动机的小轿车(可通过接插外部电源进行充电的除外)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8703401210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同时装有点燃往复式活塞内燃发动机（排量≤1升）及驱动电动机的越野车(4轮驱动)(可通过接插外部电源进行充电的除外)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8703401310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同时装有点燃往复式活塞内燃发动机（排量≤1升）及驱动电动机的小客车(9座及以下，可通过接插外部电源进行充电的除外)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8703402110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同时装有点燃往复式活塞内燃发动机（1＜排量≤1.5升）及驱动电动机的小轿车(可通过接插外部电源进行充电的除外)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8703402210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同时装有点燃往复式活塞内燃发动机（1＜排量≤1.5升）及驱动电动机的四轮驱动越野车(可通过接插外部电源进行充电的除外)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8703402310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同时装有点燃往复式活塞内燃发动机（1＜排量≤1.5升）及驱动电动机的小客车(9座及以下，可通过接插外部电源进行充电的除外)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8703402910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同时装有点燃往复式活塞内燃发动机（1＜排量≤1.5升）及驱动电动机的其他载人车辆(可通过接插外部电源进行充电的除外)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8703403110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同时装有点燃往复式活塞内燃发动机（1.5＜排量≤2升）及驱动电动机的小轿车(可通过接插外部电源进行充电的除外)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8703403210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同时装有点燃往复式活塞内燃发动机（1.5＜排量≤2升）及驱动电动机的四轮驱动越野车(可通过接插外部电源进行充电的除外)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8703403310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同时装有点燃往复式活塞内燃发动机（1.5＜排量≤2升）及驱动电动机的小客车(9座及以下，可通过接插外部电源进行充电的除外)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8703403910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同时装有点燃往复式活塞内燃发动机（1.5＜排量≤2升）及驱动电动机的其他载人车辆(可通过接插外部电源进行充电的除外)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8703404110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同时装有点燃往复式活塞内燃发动机（2＜排量≤2.5升）及驱动电动机的小轿车(可通过接插外部电源进行充电的除外)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8703404210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同时装有点燃往复式活塞内燃发动机（2＜排量≤2.5升）及驱动电动机的四轮驱动越野车(可通过接插外部电源进行充电的除外)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8703404310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同时装有点燃往复式活塞内燃发动机（2＜排量≤2.5升）及驱动电动机的小客车(9座及以下，可通过接插外部电源进行充电的除外)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8703404910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同时装有点燃往复式活塞内燃发动机（2＜排量≤2.5升）及驱动电动机的其他载人车辆(可通过接插外部电源进行充电的除外)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8703405110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同时装有点燃往复式活塞内燃发动机（2.5＜排量≤3升）及驱动电动机的小轿车(可通过接插外部电源进行充电的除外)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8703405210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同时装有点燃往复式活塞内燃发动机（2.5＜排量≤3升）及驱动电动机的四轮驱动越野车(可通过接插外部电源进行充电的除外)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8703405310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同时装有点燃往复式活塞内燃发动机（2.5＜排量≤3升）及驱动电动机的小客车(9座及以下，可通过接插外部电源进行充电的除外)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8703405910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同时装有点燃往复式活塞内燃发动机（2.5＜排量≤3升）及驱动电动机的其他载人车辆(可通过接插外部电源进行充电的除外)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8703406110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同时装有点燃往复式活塞内燃发动机（3＜排量≤4升）及驱动电动机的小轿车(可通过接插外部电源进行充电的除外)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8703406210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同时装有点燃往复式活塞内燃发动机（3＜排量≤4升）及驱动电动机的四轮驱动越野车(可通过接插外部电源进行充电的除外)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8703406310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同时装有点燃往复式活塞内燃发动机（3＜排量≤4升）及驱动电动机的小客车(9座及以下，可通过接插外部电源进行充电的除外)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8703406910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同时装有点燃往复式活塞内燃发动机（3＜排量≤4升）及驱动电动机的其他载人车辆(可通过接插外部电源进行充电的除外)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8703407110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同时装有点燃往复式活塞内燃发动机（排量＞4升）及驱动电动机的小轿车(可通过接插外部电源进行充电的除外)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8703407210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同时装有点燃往复式活塞内燃发动机（排量＞4升）及驱动电动机的四轮驱动越野车(可通过接插外部电源进行充电的除外)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8703407310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同时装有点燃往复式活塞内燃发动机（排量＞4升）及驱动电动机的小客车(9座及以下，可通过接插外部电源进行充电的除外)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8703407910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同时装有点燃往复式活塞内燃发动机（排量＞4升）及驱动电动机的其他载人车辆(可通过接插外部电源进行充电的除外)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8703409010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其他同时装有点燃往复式活塞内燃发动机及驱动电动机的载人车辆(可通过接插外部电源进行充电的除外)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8703501110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同时装有压燃式活塞内燃发动机（柴油或半柴油发动机,排量≤1升）及驱动电动机的小轿车(可通过接插外部电源进行充电的除外)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8703501910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同时装有压燃式活塞内燃发动机（柴油或半柴油发动机,排量≤1升）及驱动电动机的其他载人车辆(可通过接插外部电源进行充电的除外)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8703502110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同时装有压燃式活塞内燃发动机（柴油或半柴油发动机,1升&lt;排量≤1.5升）及驱动电动机的小轿车(可通过接插外部电源进行充电的除外)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8703502210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同时装有压燃式活塞内燃发动机（柴油或半柴油发动机,1升&lt;排量≤1.5升）及驱动电动机的四轮驱动越野车(可通过接插外部电源进行充电的除外)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8703502310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同时装有压燃式活塞内燃发动机（柴油或半柴油发动机,1升&lt;排量≤1.5升）及驱动电动机的小客车(9座及以下，可通过接插外部电源进行充电的除外)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8703502910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同时装有压燃式活塞内燃发动机（柴油或半柴油发动机,1升&lt;排量≤1.5升）及驱动电动机的其他载人车辆(可通过接插外部电源进行充电的除外)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8703503110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同时装有压燃式活塞内燃发动机（柴油或半柴油发动机,1.5升&lt;排量≤2升）及驱动电动机的小轿车(可通过接插外部电源进行充电的除外)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8703503210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同时装有压燃式活塞内燃发动机（柴油或半柴油发动机,1.5升&lt;排量≤2升）及驱动电动机的四轮驱动越野车(可通过接插外部电源进行充电的除外)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8703503310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同时装有压燃式活塞内燃发动机（柴油或半柴油发动机,1.5升&lt;排量≤2升）及驱动电动机的小客车(9座及以下，可通过接插外部电源进行充电的除外)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8703503910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同时装有压燃式活塞内燃发动机（柴油或半柴油发动机,1.5升&lt;排量≤2升）及驱动电动机的其他载人车辆(可通过接插外部电源进行充电的除外)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8703504110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同时装有压燃式活塞内燃发动机（柴油或半柴油发动机,2升&lt;排量≤2.5升）及驱动电动机的小轿车(可通过接插外部电源进行充电的除外)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8703504210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同时装有压燃式活塞内燃发动机（柴油或半柴油发动机,2升&lt;排量≤2.5升）及驱动电动机的四轮驱动越野车(可通过接插外部电源进行充电的除外)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8703504310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同时装有压燃式活塞内燃发动机（柴油或半柴油发动机,2升&lt;排量≤2.5升）及驱动电动机的小客车(9座及以下，可通过接插外部电源进行充电的除外)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8703504910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同时装有压燃式活塞内燃发动机（柴油或半柴油发动机,2升&lt;排量≤2.5升）及驱动电动机的其他载人车辆(可通过接插外部电源进行充电的除外)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8703505110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同时装有压燃式活塞内燃发动机（柴油或半柴油发动机,2.5升&lt;排量≤3升）及驱动电动机的小轿车(可通过接插外部电源进行充电的除外)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8703505210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同时装有压燃式活塞内燃发动机（柴油或半柴油发动机,2.5升&lt;排量≤3升）及驱动电动机的四轮驱动越野车(可通过接插外部电源进行充电的除外)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8703505310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同时装有压燃式活塞内燃发动机（柴油或半柴油发动机,2.5升&lt;排量≤3升）及驱动电动机的小客车(9座及以下，可通过接插外部电源进行充电的除外)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8703505910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同时装有压燃式活塞内燃发动机（柴油或半柴油发动机,2.5升&lt;排量≤3升）及驱动电动机的其他载人车辆(可通过接插外部电源进行充电的除外)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8703506110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同时装有压燃式活塞内燃发动机（柴油或半柴油发动机,3升&lt;排量≤4升）及驱动电动机的小轿车(可通过接插外部电源进行充电的除外)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8703506210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同时装有压燃式活塞内燃发动机（柴油或半柴油发动机,3升&lt;排量≤4升）及驱动电动机的四轮驱动越野车(可通过接插外部电源进行充电的除外)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8703506310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同时装有压燃式活塞内燃发动机（柴油或半柴油发动机,3升&lt;排量≤4升）及驱动电动机的小客车(9座及以下，可通过接插外部电源进行充电的除外)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8703506910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同时装有压燃式活塞内燃发动机（柴油或半柴油发动机,3升&lt;排量≤4升）及驱动电动机的其他载人车辆(可通过接插外部电源进行充电的除外)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8703507110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同时装有压燃式活塞内燃发动机（柴油或半柴油发动机,排量＞4升）及驱动电动机的小轿车(可通过接插外部电源进行充电的除外)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8703507210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同时装有压燃式活塞内燃发动机（柴油或半柴油发动机,排量＞4升）及驱动电动机的四轮驱动越野车(可通过接插外部电源进行充电的除外)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8703507310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同时装有压燃式活塞内燃发动机（柴油或半柴油发动机,排量＞4升）及驱动电动机的小客车(9座及以下，可通过接插外部电源进行充电的除外)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8703507910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同时装有压燃式活塞内燃发动机（柴油或半柴油发动机,排量＞4升）及驱动电动机的其他载人车辆(可通过接插外部电源进行充电的除外)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8703509010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其他同时装有压燃式活塞内燃发动机（柴油或半柴油发动机）及驱动电动机的载人车辆(可通过接插外部电源进行充电的除外)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8703600000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同时装有点燃往复式活塞内燃发动机及驱动电动机、可通过接插外部电源进行充电的其他载人车辆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8703700000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同时装有压燃活塞内燃发动机(柴油或半柴油发动机)及驱动电动机、可通过接插外部电源进行充电的其他载人车辆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8703800090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仅装有驱动电动机的其他载人车辆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8703900021</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其他型排气量≤1升的其他载人车辆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8703900022</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其他型1升&lt;排气量≤1.5升的其他载人车辆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8703900023</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其他型1.5升＜排气量≤2升的其他载人车辆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8703900024</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其他型2升＜排气量≤2.5升的其他载人车辆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8703900025</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其他型2.5升＜排气量≤3升的其他载人车辆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8703900026</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其他型3升＜排气量≤4升的其他载人车辆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8703900027</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其他型排气量＞4升的其他载人车辆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8703900029</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其他无法区分排气量的载人车辆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8703401910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同时装有点燃往复式活塞内燃发动机（排量≤1升）及驱动电动机的其他载人车辆(可通过接插外部电源进行充电的除外)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8701200000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半挂车用的公路牵引车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8701919000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其他发动机功率不超过18千瓦的牵引车(不包括品目8709的牵引车)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8701929000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其他发动机功率超过18千瓦但不超过37千瓦的牵引车(不包括品目8709的牵引车)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8701939000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其他发动机功率超过37千瓦但不超过75千瓦的牵引车(不包括品目8709的牵引车)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8701949000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其他发动机功率超过75千瓦但不超过130千瓦的牵引车(不包括品目8709的牵引车)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8701959000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其他发动机功率超过130千瓦的牵引车(不包括品目8709的牵引车)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8704210000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柴油型其他小型货车(装有压燃式活塞内燃发动机,小型指车辆总重量≤5吨 )</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8704223000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柴油型其他中型货车(装有压燃式活塞内燃发动机,中型指5&lt;车辆总重量&lt;14吨)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8704224000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柴油型其他重型货车(装有压燃式活塞内燃发动机,重型指14≤车辆总重≤20吨)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8704230010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固井水泥车、压裂车、混砂车、连续油管车、液氮泵车用底盘(车辆总重量＞35吨,装驾驶室)</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8704230020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起重≥55吨汽车起重机用底盘(装有压燃式活塞内燃发动机)</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8704230030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车辆总重量≥31吨清障车专用底盘</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8704230090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柴油型的其他超重型货车(装有压燃式活塞内燃发动机,超重型指车辆总重量＞20吨)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8704310000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总重量≤5吨的其他货车(汽油型,装有点燃式活塞内燃发动机)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8704323000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5吨＜总重量≤8吨的其他货车(汽油型,装有点燃式活塞内燃发动机)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8704324000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总重量＞8吨的其他货车(汽油型,装有点燃式活塞内燃发动机)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8704900000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装有其他发动机的货车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8705102100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起重重量≤50吨全路面起重车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8705102200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50&lt;起重重量≤100吨全路面起重车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8705102300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起重量&gt;100吨全路面起重车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8705109100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起重重量≤50吨其他机动起重车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8705109200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50&lt;起重重量≤100吨其他起重车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8705109300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起重重量&gt;100吨其他机动起重车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8705200000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机动钻探车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8705400000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机动混凝土搅拌车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无线电通信车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机动放射线检查车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机动环境监测车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机动医疗车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8705905900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其他机动电源车(频率为400赫兹航空电源车除外)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8705907000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道路(包括跑道)扫雪车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8705908000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石油测井车,压裂车,混沙车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8705909100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混凝土泵车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8705909990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其他特殊用途的机动车辆(主要用于载人或运货的车辆除外)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8706002100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车辆总重量≥14吨的货车底盘(装有发动机的)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8706002200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车辆总重量＜14吨的货车底盘(装有发动机的)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8706004000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汽车起重机底盘(装有发动机的)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8706009000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其他机动车辆底盘(装有发动机的,品目8701、8703和8705所列车辆用)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8716100000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供居住或野营用厢式挂车及半挂车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8716311000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油罐挂车及半挂车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8716319000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其他罐式挂车及半挂车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8716391000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货柜挂车及半挂车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8716399000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其他货运挂车及半挂车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bookmarkStart w:id="2" w:name="OLE_LINK3"/>
            <w:r>
              <w:rPr>
                <w:rFonts w:hint="eastAsia" w:ascii="仿宋_GB2312" w:hAnsi="仿宋_GB2312" w:eastAsia="仿宋_GB2312" w:cs="仿宋_GB2312"/>
                <w:kern w:val="0"/>
                <w:sz w:val="21"/>
                <w:szCs w:val="21"/>
              </w:rPr>
              <w:t>8716400000</w:t>
            </w:r>
            <w:bookmarkEnd w:id="2"/>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其他未列名挂车及半挂车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8426411000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轮胎式起重机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65</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摩托车</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8711100010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微马力摩托车及脚踏两用车(装有往复式活塞发动机,微马力指排气量=50cc)</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8711100090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微马力摩托车及脚踏两用车(装有往复式活塞发动机,微马力指排气量&lt;50cc)</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8711201000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50＜排气量≤100毫升装往复式活塞内燃发动机摩托车及脚踏两用车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8711202000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100＜排气量≤125毫升装往复式活塞内燃发动机摩托车及脚踏两用车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8711203000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125＜排气量≤150毫升装往复式活塞内燃发动机摩托车及脚踏两用车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8711204000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150＜排气量≤200毫升装往复式活塞内燃发动机摩托车及脚踏两用车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8711205010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200＜排气量＜250毫升装往复式活塞内燃发动机摩托车及脚踏两用车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8711205090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排气量=250毫升装往复式活塞内燃发动机摩托车及脚踏两用车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8711301000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250＜</w:t>
            </w:r>
            <w:r>
              <w:rPr>
                <w:rFonts w:hint="eastAsia" w:ascii="仿宋_GB2312" w:hAnsi="仿宋_GB2312" w:eastAsia="仿宋_GB2312" w:cs="仿宋_GB2312"/>
                <w:sz w:val="21"/>
                <w:szCs w:val="21"/>
              </w:rPr>
              <w:t>排气量</w:t>
            </w:r>
            <w:r>
              <w:rPr>
                <w:rFonts w:hint="eastAsia" w:ascii="仿宋_GB2312" w:hAnsi="仿宋_GB2312" w:eastAsia="仿宋_GB2312" w:cs="仿宋_GB2312"/>
                <w:kern w:val="0"/>
                <w:sz w:val="21"/>
                <w:szCs w:val="21"/>
              </w:rPr>
              <w:t>≤400毫升装往复式活塞内燃发动机摩托车及脚踏两用车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8711302000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400＜排气量≤500毫升装往复式活塞内燃发动机摩托车及脚踏两用车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8711400000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500＜排气量≤800毫升装往复式活塞内燃发动机摩托车及脚踏两用车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8711500000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800毫升＜排气量装往复式活塞内燃发动机摩托车及脚踏两用车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8711600090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其他装有电驱动电动机的摩托车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8711900010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其他排气量≤250毫升摩托车及脚踏两用车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8711900020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其他排气量＞250毫升摩托车及脚踏两用车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8711900030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其他无法区分排气量的摩托车及脚踏两用车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8711900090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装有其他辅助发动机的脚踏车，边车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66</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汽车安全带</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8708210000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坐椅安全带(品目8701至8705的车辆用)</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67</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摩托车乘员头盔</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6506100090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其他安全帽(不论有无衬里或饰物)</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68</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机动车外部照明及光信号装置</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(汽车用灯具、摩托车用灯具)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8512201000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机动车辆用照明装置</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69</w:t>
            </w:r>
          </w:p>
        </w:tc>
        <w:tc>
          <w:tcPr>
            <w:tcW w:w="4037" w:type="dxa"/>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机动车后视镜</w:t>
            </w:r>
          </w:p>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（汽车后视镜、摩托车后视镜）</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7009100000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车辆后视镜（不论是否镶框）</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w:t>
            </w:r>
          </w:p>
        </w:tc>
        <w:tc>
          <w:tcPr>
            <w:tcW w:w="4037" w:type="dxa"/>
            <w:vMerge w:val="restart"/>
            <w:tcBorders>
              <w:top w:val="single" w:color="auto" w:sz="4" w:space="0"/>
              <w:left w:val="single" w:color="auto" w:sz="4" w:space="0"/>
              <w:right w:val="single" w:color="auto" w:sz="4" w:space="0"/>
            </w:tcBorders>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汽车座椅及座椅头枕</w:t>
            </w: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9401201000</w:t>
            </w:r>
          </w:p>
        </w:tc>
        <w:tc>
          <w:tcPr>
            <w:tcW w:w="559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皮革或再生皮革面的机动车辆用坐具</w:t>
            </w:r>
          </w:p>
        </w:tc>
        <w:tc>
          <w:tcPr>
            <w:tcW w:w="2077" w:type="dxa"/>
            <w:vMerge w:val="restart"/>
            <w:tcBorders>
              <w:top w:val="single" w:color="auto" w:sz="4" w:space="0"/>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tcBorders>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tcBorders>
              <w:left w:val="single" w:color="auto" w:sz="4" w:space="0"/>
              <w:right w:val="single" w:color="auto" w:sz="4" w:space="0"/>
            </w:tcBorders>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9401209000</w:t>
            </w:r>
          </w:p>
        </w:tc>
        <w:tc>
          <w:tcPr>
            <w:tcW w:w="559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其他机动车辆用坐具</w:t>
            </w:r>
          </w:p>
        </w:tc>
        <w:tc>
          <w:tcPr>
            <w:tcW w:w="2077" w:type="dxa"/>
            <w:vMerge w:val="continue"/>
            <w:tcBorders>
              <w:left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tcBorders>
              <w:left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tcBorders>
              <w:left w:val="single" w:color="auto" w:sz="4" w:space="0"/>
              <w:right w:val="single" w:color="auto" w:sz="4" w:space="0"/>
            </w:tcBorders>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9401901900</w:t>
            </w:r>
          </w:p>
        </w:tc>
        <w:tc>
          <w:tcPr>
            <w:tcW w:w="559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机动车辆用其他座具零件</w:t>
            </w:r>
          </w:p>
        </w:tc>
        <w:tc>
          <w:tcPr>
            <w:tcW w:w="2077" w:type="dxa"/>
            <w:vMerge w:val="continue"/>
            <w:tcBorders>
              <w:left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tcBorders>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tcBorders>
              <w:left w:val="single" w:color="auto" w:sz="4" w:space="0"/>
              <w:bottom w:val="single" w:color="auto" w:sz="4" w:space="0"/>
              <w:right w:val="single" w:color="auto" w:sz="4" w:space="0"/>
            </w:tcBorders>
            <w:vAlign w:val="center"/>
          </w:tcPr>
          <w:p>
            <w:pPr>
              <w:widowControl/>
              <w:contextualSpacing/>
              <w:jc w:val="center"/>
              <w:textAlignment w:val="center"/>
              <w:rPr>
                <w:rFonts w:hint="eastAsia" w:ascii="仿宋_GB2312" w:hAnsi="仿宋_GB2312" w:eastAsia="仿宋_GB2312" w:cs="仿宋_GB2312"/>
                <w:kern w:val="0"/>
                <w:sz w:val="21"/>
                <w:szCs w:val="21"/>
              </w:rPr>
            </w:pP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8708995900</w:t>
            </w:r>
          </w:p>
        </w:tc>
        <w:tc>
          <w:tcPr>
            <w:tcW w:w="559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总重≥14吨柴油货车用其他零部件(指87042240,2300,3240所列车辆用,含总重&gt;8吨汽油货车)</w:t>
            </w:r>
          </w:p>
        </w:tc>
        <w:tc>
          <w:tcPr>
            <w:tcW w:w="2077" w:type="dxa"/>
            <w:vMerge w:val="continue"/>
            <w:tcBorders>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71</w:t>
            </w:r>
          </w:p>
        </w:tc>
        <w:tc>
          <w:tcPr>
            <w:tcW w:w="4037" w:type="dxa"/>
            <w:tcBorders>
              <w:top w:val="single" w:color="auto" w:sz="4" w:space="0"/>
              <w:left w:val="single" w:color="auto" w:sz="4" w:space="0"/>
              <w:bottom w:val="single" w:color="auto" w:sz="4" w:space="0"/>
              <w:right w:val="single" w:color="auto" w:sz="4" w:space="0"/>
            </w:tcBorders>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车身反光标识</w:t>
            </w: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8512209000</w:t>
            </w:r>
          </w:p>
        </w:tc>
        <w:tc>
          <w:tcPr>
            <w:tcW w:w="559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其他照明或视觉信号装置(包括机动车辆用视觉装置)</w:t>
            </w:r>
          </w:p>
        </w:tc>
        <w:tc>
          <w:tcPr>
            <w:tcW w:w="207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72</w:t>
            </w:r>
          </w:p>
        </w:tc>
        <w:tc>
          <w:tcPr>
            <w:tcW w:w="4037" w:type="dxa"/>
            <w:tcBorders>
              <w:top w:val="single" w:color="auto" w:sz="4" w:space="0"/>
              <w:left w:val="single" w:color="auto" w:sz="4" w:space="0"/>
              <w:bottom w:val="single" w:color="auto" w:sz="4" w:space="0"/>
              <w:right w:val="single" w:color="auto" w:sz="4" w:space="0"/>
            </w:tcBorders>
            <w:vAlign w:val="center"/>
          </w:tcPr>
          <w:p>
            <w:pPr>
              <w:widowControl/>
              <w:contextualSpacing/>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汽车行驶记录仪</w:t>
            </w:r>
          </w:p>
        </w:tc>
        <w:tc>
          <w:tcPr>
            <w:tcW w:w="157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8525803990</w:t>
            </w:r>
          </w:p>
        </w:tc>
        <w:tc>
          <w:tcPr>
            <w:tcW w:w="5597"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非特种用途的其他类型视屏摄录一体机（非广播级、非多用途）</w:t>
            </w:r>
          </w:p>
        </w:tc>
        <w:tc>
          <w:tcPr>
            <w:tcW w:w="207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73</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电动自行车</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8711600010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电动自行车(包括机器脚踏两用车;脚踏车)</w:t>
            </w:r>
          </w:p>
        </w:tc>
        <w:tc>
          <w:tcPr>
            <w:tcW w:w="2077" w:type="dxa"/>
            <w:vMerge w:val="restart"/>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8711600090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其他装有电驱动电动机的摩托车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8711900090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装有其他辅助发动机的脚踏车，边车</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74</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轿车轮胎</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4011100000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机动小客车用新的充气轮胎(橡胶轮胎,包括旅行小客车及赛车用)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4011200090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其他客或货车用新充气橡胶轮胎(指机动车辆用橡胶轮胎)</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4011909090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其他新的充气橡胶轮胎(其他用途,新充气橡胶轮胎,非人字形胎面)</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75</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载重汽车轮胎</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4011100000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机动小客车用新的充气轮胎(橡胶轮胎,包括旅行小客车及赛车用)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4011200090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其他客或货车用新充气橡胶轮胎(指机动车辆用橡胶轮胎)</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4011909090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其他新的充气橡胶轮胎(其他用途,新充气橡胶轮胎,非人字形胎面)</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76</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摩托车轮胎</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4011400000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摩托车用新的充气橡胶轮胎</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sz w:val="21"/>
                <w:szCs w:val="21"/>
              </w:rPr>
              <w:t>4011909090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其他新的充气橡胶轮胎(其他用途,新充气橡胶轮胎,非人字形胎面)</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77</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汽车安全玻璃</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7007219000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车辆用层压安全玻璃(规格及形状适于安装在车辆上的)</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自我声明评价方式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7007119000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车辆用钢化安全玻璃(规格及形状适于安装在车辆上的)</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7008001000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中空或真空隔温、隔音玻璃组件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8708294100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汽车电动天窗</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8708294200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汽车手动天窗</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建筑安全玻璃</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7007290000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其他层压安全玻璃</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7007190000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其他钢化安全玻璃</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7008001000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中空或真空隔温、隔音玻璃组件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79</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植物保护机械</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8424410000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农业或园艺用便携式喷雾器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8424490000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农业或园艺用非便携式喷雾器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8424820000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农业或园艺用其他喷射器具(喷雾器除外)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80</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轮式拖拉机</w:t>
            </w: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8701911000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其他发动机功率不超过18千瓦的拖拉机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8701921000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其他发动机功率超过18千瓦但不超过37千瓦的拖拉机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81</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传真机</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8443319090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其他具有打印、复印或传真中两种及以上功能的机器(具有打印和复印两种功能的机器除外,可与自动数据处理设备或网络连接)</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8443329010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其他加密传真机(可与自动数据处理设备或网络连接)</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8443319020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其他多功能一体加密传真机(兼有打印、复印中一种及以上功能的机器)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82</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无绳电话终端</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8517110010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无绳加密电话机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8517110090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其他无绳电话机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83</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移动用户终端</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8517121019</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其他GSM数字式手持无线电话机</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8517121029</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其他CDMA数字式手持无线电话机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8517121090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其他手持式无线电话机(包括车载式无线电话机)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8517129000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其他用于蜂窝网络或其他无线网络的电话机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8517629200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无线网络接口卡</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8517629300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无线接入固定台</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8517691099</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其他无线通信设备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数据终端（含卡）</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光端机及脉冲编码调制设备(PCM)</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8517622200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波分复用光传输设备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8517622990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其他光通讯设备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非光通讯网络时钟同步设备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8517623210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非光通讯加密以太网络交换机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8517623290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其他非光通讯以太网络交换机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8517623500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集线器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8517623690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其他路由器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8517623610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非光通讯加密路由器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8517623790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其他有线网络接口卡</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8517622910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光通讯加密路由器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其他有线通信设备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多媒体终端</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8517623990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其他有线数字通信设备</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8517629900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其他接收、转换并发送或再生音像或其他数据用的设备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8517699000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其他有线通信设备</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86</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火灾报警产品</w:t>
            </w:r>
          </w:p>
        </w:tc>
        <w:tc>
          <w:tcPr>
            <w:tcW w:w="1573" w:type="dxa"/>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8531100000</w:t>
            </w:r>
          </w:p>
        </w:tc>
        <w:tc>
          <w:tcPr>
            <w:tcW w:w="5597" w:type="dxa"/>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防盗或防火报警器及类似装置</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灭火器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8424100000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灭火器(不论是否装药)</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避难逃生产品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8512209000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其他照明或视觉信号装置(包括机动车辆用视觉装置)</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9405600000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发光标志、发光铭牌及类似品</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9020000000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其他呼吸器具及防毒面具(但不包括既无机械零件又无可互换过滤器的防护面具）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89</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入侵探测器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8531100000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防盗或防火报警器及类似装置</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90</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防盗报警控制器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8531100000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防盗或防火报警器及类似装置</w:t>
            </w:r>
          </w:p>
        </w:tc>
        <w:tc>
          <w:tcPr>
            <w:tcW w:w="207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91</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溶剂型木器涂料</w:t>
            </w: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3208901091</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其他聚胺酯油漆清漆等，施工状态下挥发性有机物含量大于420克/升（溶于非水介质以聚胺酯类化合物为基本成分,含瓷漆大漆）</w:t>
            </w:r>
          </w:p>
        </w:tc>
        <w:tc>
          <w:tcPr>
            <w:tcW w:w="2077" w:type="dxa"/>
            <w:vMerge w:val="restart"/>
            <w:vAlign w:val="center"/>
          </w:tcPr>
          <w:p>
            <w:pPr>
              <w:widowControl/>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3208901099</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其他聚胺酯油漆清漆等；以聚氨酯类化合物为基本成分的本章注释四所述溶液(分散于或溶于非水介质以聚胺酯类化合物为基本成分,含瓷漆大漆)</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3208909010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分散于或溶于非水介质其他油漆、清漆溶液，施工状态下挥发性有机物含量大于420克/升(包括以聚合物为基本成分的漆,本章注释四所述溶液)</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3208909090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分散于或溶于非水介质其他油漆、清漆溶液；其他本章注释四所述溶液(包括以聚合物为基本成分的漆,本章注释四所述溶液)</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3210000091</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其他油漆及清漆,皮革用水性颜料，施工状态下挥发性有机物含量大于420克/升（包括非聚合物为基料的瓷漆,大漆及水浆涂料 ）</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3210000099</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其他油漆及清漆,皮革用水性颜料，施工状态下挥发性有机物含量不大于420克/升(包括非聚合物为基料的瓷漆,大漆及水浆涂料)</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92</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瓷质砖</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6904100000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陶瓷制建筑用砖</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6904900000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陶瓷制铺地砖、支撑或填充用砖(包括类似品)</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6905900000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其他建筑用陶瓷制品(包括烟囱罩通风帽,烟囱衬壁,建筑装饰物)</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6907211000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不论是否矩形，其最大表面积以可置入边长小于7厘米的方格的贴面砖、铺面砖，包括炉面砖及墙面砖，但子目6907.30和6907.40所列商品除外(按重量计吸水率不超过0.5%)</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6907219000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其他贴面砖、铺面砖，包括炉面砖及墙面砖，但子目6907.30和6907.40所列商品除外(按重量计吸水率不超过0.5%)</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6907301000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不论是否矩形，其最大表面积以可置入边长小于7厘米的方格的镶嵌砖（马赛克）及其类似品，但子目6907.40的货品除外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6907309000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其他镶嵌砖（马赛克）及其类似品，但子目6907.40的货品除外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6907401000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不论是否矩形，其最大表面积以可置入边长小于7厘米的方格的饰面陶瓷</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6907409000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其他饰面陶瓷</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93</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童车类产品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8712008110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12-16英寸的未列名自行车</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8712008190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11英寸及以下的未列名自行车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8712008900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其他未列名自行车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三轮车、踏板车、踏板汽车和类似的带轮玩具；玩偶车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8712009000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其他非机动脚踏车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8715000010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婴孩车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8715000090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婴孩车零件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电玩具类产品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9503006000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智力玩具</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三轮车、踏板车、踏板汽车和类似的带轮玩具；玩偶车</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动物玩偶，不论是否着装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9503008390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带动力装置的玩具及模型</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9503008310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玩具无人机</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玩具、模型零件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restart"/>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w:t>
            </w:r>
          </w:p>
        </w:tc>
        <w:tc>
          <w:tcPr>
            <w:tcW w:w="4037" w:type="dxa"/>
            <w:vMerge w:val="restart"/>
            <w:vAlign w:val="center"/>
          </w:tcPr>
          <w:p>
            <w:pPr>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塑胶玩具类产品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三轮车、踏板车、踏板汽车和类似的带轮玩具；玩偶车</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动物玩偶，不论是否着装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9503006000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智力玩具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玩具、模型零件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96</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金属玩具类产品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三轮车、踏板车、踏板汽车和类似的带轮玩具；玩偶车</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动物玩偶，不论是否着装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9503006000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智力玩具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玩具、模型零件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CellMar>
            <w:top w:w="0" w:type="dxa"/>
            <w:left w:w="108" w:type="dxa"/>
            <w:bottom w:w="0" w:type="dxa"/>
            <w:right w:w="108" w:type="dxa"/>
          </w:tblCellMar>
        </w:tblPrEx>
        <w:trPr>
          <w:cantSplit/>
          <w:trHeight w:val="46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97</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弹射玩具类产品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9503002100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动物玩偶，不论是否着装</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其他玩偶，不论是否着装</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玩具、模型零件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98</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娃娃玩具类产品</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9503002900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其他玩偶，不论是否着装</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9503008900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其他未列名玩具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9503009000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玩具、模型零件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99</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机动车儿童乘员用约束系统</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8708210000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坐椅安全带(品目8701至8705的车辆用)</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9401201000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皮革或再生皮革面的机动车辆用坐具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9401209000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其他机动车辆用坐具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9401401000</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皮革或再生皮革面的能作床用的两用椅(但庭园坐具或野营设备除外)</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9401409000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其他能作床用的两用椅(但庭园坐具或野营设备除外)</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9401809091</w:t>
            </w:r>
          </w:p>
        </w:tc>
        <w:tc>
          <w:tcPr>
            <w:tcW w:w="5597" w:type="dxa"/>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儿童用汽车安全座椅</w:t>
            </w:r>
          </w:p>
        </w:tc>
        <w:tc>
          <w:tcPr>
            <w:tcW w:w="2077" w:type="dxa"/>
            <w:vMerge w:val="continue"/>
            <w:vAlign w:val="center"/>
          </w:tcPr>
          <w:p>
            <w:pPr>
              <w:jc w:val="center"/>
              <w:textAlignment w:val="center"/>
              <w:rPr>
                <w:rFonts w:hint="eastAsia" w:ascii="仿宋_GB2312" w:hAnsi="仿宋_GB2312" w:eastAsia="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9401809099</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其他坐具</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9401901900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机动车辆用其他座具零件</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100</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家用燃气灶具</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7321110000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可使用气体燃料的家用炉灶</w:t>
            </w:r>
          </w:p>
        </w:tc>
        <w:tc>
          <w:tcPr>
            <w:tcW w:w="207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第三方认证方式（自</w:t>
            </w:r>
            <w:r>
              <w:rPr>
                <w:rFonts w:hint="default" w:ascii="仿宋_GB2312" w:hAnsi="仿宋_GB2312" w:eastAsia="仿宋_GB2312" w:cs="仿宋_GB2312"/>
                <w:kern w:val="0"/>
                <w:sz w:val="21"/>
                <w:szCs w:val="21"/>
                <w:lang w:val="en-US"/>
              </w:rPr>
              <w:t>2020</w:t>
            </w:r>
            <w:r>
              <w:rPr>
                <w:rFonts w:hint="eastAsia" w:ascii="仿宋_GB2312" w:hAnsi="仿宋_GB2312" w:eastAsia="仿宋_GB2312" w:cs="仿宋_GB2312"/>
                <w:kern w:val="0"/>
                <w:sz w:val="21"/>
                <w:szCs w:val="21"/>
              </w:rPr>
              <w:t>年</w:t>
            </w:r>
            <w:r>
              <w:rPr>
                <w:rFonts w:hint="default" w:ascii="仿宋_GB2312" w:hAnsi="仿宋_GB2312" w:eastAsia="仿宋_GB2312" w:cs="仿宋_GB2312"/>
                <w:kern w:val="0"/>
                <w:sz w:val="21"/>
                <w:szCs w:val="21"/>
                <w:lang w:val="en-US"/>
              </w:rPr>
              <w:t>10</w:t>
            </w:r>
            <w:r>
              <w:rPr>
                <w:rFonts w:hint="eastAsia" w:ascii="仿宋_GB2312" w:hAnsi="仿宋_GB2312" w:eastAsia="仿宋_GB2312" w:cs="仿宋_GB2312"/>
                <w:kern w:val="0"/>
                <w:sz w:val="21"/>
                <w:szCs w:val="21"/>
              </w:rPr>
              <w:t>月</w:t>
            </w:r>
            <w:r>
              <w:rPr>
                <w:rFonts w:hint="default" w:ascii="仿宋_GB2312" w:hAnsi="仿宋_GB2312" w:eastAsia="仿宋_GB2312" w:cs="仿宋_GB2312"/>
                <w:kern w:val="0"/>
                <w:sz w:val="21"/>
                <w:szCs w:val="21"/>
                <w:lang w:val="en-US"/>
              </w:rPr>
              <w:t>1</w:t>
            </w:r>
            <w:r>
              <w:rPr>
                <w:rFonts w:hint="eastAsia" w:ascii="仿宋_GB2312" w:hAnsi="仿宋_GB2312" w:eastAsia="仿宋_GB2312" w:cs="仿宋_GB2312"/>
                <w:kern w:val="0"/>
                <w:sz w:val="21"/>
                <w:szCs w:val="21"/>
              </w:rPr>
              <w:t>日起，</w:t>
            </w:r>
            <w:r>
              <w:rPr>
                <w:rFonts w:hint="eastAsia" w:ascii="仿宋_GB2312" w:hAnsi="仿宋_GB2312" w:eastAsia="仿宋_GB2312" w:cs="仿宋_GB2312"/>
                <w:kern w:val="0"/>
                <w:sz w:val="21"/>
                <w:szCs w:val="21"/>
                <w:lang w:eastAsia="zh-CN"/>
              </w:rPr>
              <w:t>此类</w:t>
            </w:r>
            <w:r>
              <w:rPr>
                <w:rFonts w:hint="eastAsia" w:ascii="仿宋_GB2312" w:hAnsi="仿宋_GB2312" w:eastAsia="仿宋_GB2312" w:cs="仿宋_GB2312"/>
                <w:kern w:val="0"/>
                <w:sz w:val="21"/>
                <w:szCs w:val="21"/>
              </w:rPr>
              <w:t>产品</w:t>
            </w:r>
            <w:r>
              <w:rPr>
                <w:rFonts w:hint="eastAsia" w:ascii="仿宋_GB2312" w:hAnsi="仿宋_GB2312" w:eastAsia="仿宋_GB2312" w:cs="仿宋_GB2312"/>
                <w:kern w:val="0"/>
                <w:sz w:val="21"/>
                <w:szCs w:val="21"/>
                <w:lang w:eastAsia="zh-CN"/>
              </w:rPr>
              <w:t>应当经过</w:t>
            </w:r>
            <w:r>
              <w:rPr>
                <w:rFonts w:hint="eastAsia" w:ascii="仿宋_GB2312" w:hAnsi="仿宋_GB2312" w:eastAsia="仿宋_GB2312" w:cs="仿宋_GB2312"/>
                <w:kern w:val="0"/>
                <w:sz w:val="21"/>
                <w:szCs w:val="21"/>
              </w:rPr>
              <w:t>强制性产品认证</w:t>
            </w:r>
            <w:r>
              <w:rPr>
                <w:rFonts w:hint="eastAsia" w:ascii="仿宋_GB2312" w:hAnsi="仿宋_GB2312" w:eastAsia="仿宋_GB2312" w:cs="仿宋_GB2312"/>
                <w:kern w:val="0"/>
                <w:sz w:val="21"/>
                <w:szCs w:val="21"/>
                <w:lang w:eastAsia="zh-CN"/>
              </w:rPr>
              <w:t>并</w:t>
            </w:r>
            <w:r>
              <w:rPr>
                <w:rFonts w:hint="eastAsia" w:ascii="仿宋_GB2312" w:hAnsi="仿宋_GB2312" w:eastAsia="仿宋_GB2312" w:cs="仿宋_GB2312"/>
                <w:kern w:val="0"/>
                <w:sz w:val="21"/>
                <w:szCs w:val="21"/>
              </w:rPr>
              <w:t>标注认证标志</w:t>
            </w:r>
            <w:r>
              <w:rPr>
                <w:rFonts w:hint="eastAsia" w:ascii="仿宋_GB2312" w:hAnsi="仿宋_GB2312" w:eastAsia="仿宋_GB2312" w:cs="仿宋_GB2312"/>
                <w:kern w:val="0"/>
                <w:sz w:val="21"/>
                <w:szCs w:val="21"/>
                <w:lang w:eastAsia="zh-CN"/>
              </w:rPr>
              <w:t>后</w:t>
            </w:r>
            <w:r>
              <w:rPr>
                <w:rFonts w:hint="eastAsia" w:ascii="仿宋_GB2312" w:hAnsi="仿宋_GB2312" w:eastAsia="仿宋_GB2312" w:cs="仿宋_GB2312"/>
                <w:kern w:val="0"/>
                <w:sz w:val="21"/>
                <w:szCs w:val="21"/>
              </w:rPr>
              <w:t>，</w:t>
            </w:r>
            <w:r>
              <w:rPr>
                <w:rFonts w:hint="eastAsia" w:ascii="仿宋_GB2312" w:hAnsi="仿宋_GB2312" w:eastAsia="仿宋_GB2312" w:cs="仿宋_GB2312"/>
                <w:kern w:val="0"/>
                <w:sz w:val="21"/>
                <w:szCs w:val="21"/>
                <w:lang w:eastAsia="zh-CN"/>
              </w:rPr>
              <w:t>方可</w:t>
            </w:r>
            <w:r>
              <w:rPr>
                <w:rFonts w:hint="eastAsia" w:ascii="仿宋_GB2312" w:hAnsi="仿宋_GB2312" w:eastAsia="仿宋_GB2312" w:cs="仿宋_GB2312"/>
                <w:kern w:val="0"/>
                <w:sz w:val="21"/>
                <w:szCs w:val="21"/>
              </w:rPr>
              <w:t>出厂、销售、进口</w:t>
            </w:r>
            <w:r>
              <w:rPr>
                <w:rFonts w:hint="eastAsia" w:ascii="仿宋_GB2312" w:hAnsi="仿宋_GB2312" w:eastAsia="仿宋_GB2312" w:cs="仿宋_GB2312"/>
                <w:kern w:val="0"/>
                <w:sz w:val="21"/>
                <w:szCs w:val="21"/>
                <w:lang w:eastAsia="zh-CN"/>
              </w:rPr>
              <w:t>或者</w:t>
            </w:r>
            <w:r>
              <w:rPr>
                <w:rFonts w:hint="eastAsia" w:ascii="仿宋_GB2312" w:hAnsi="仿宋_GB2312" w:eastAsia="仿宋_GB2312" w:cs="仿宋_GB2312"/>
                <w:kern w:val="0"/>
                <w:sz w:val="21"/>
                <w:szCs w:val="21"/>
              </w:rPr>
              <w:t>在其他经营活动中使用）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101</w:t>
            </w:r>
          </w:p>
        </w:tc>
        <w:tc>
          <w:tcPr>
            <w:tcW w:w="403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家用燃气快速热水器</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8419110000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非电热燃气快速热水器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102</w:t>
            </w:r>
          </w:p>
        </w:tc>
        <w:tc>
          <w:tcPr>
            <w:tcW w:w="4037" w:type="dxa"/>
            <w:vMerge w:val="restart"/>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燃气采暖热水炉</w:t>
            </w: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8419110000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非电热燃气快速热水器</w:t>
            </w:r>
          </w:p>
        </w:tc>
        <w:tc>
          <w:tcPr>
            <w:tcW w:w="207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4037" w:type="dxa"/>
            <w:vMerge w:val="continue"/>
            <w:vAlign w:val="center"/>
          </w:tcPr>
          <w:p>
            <w:pPr>
              <w:widowControl/>
              <w:jc w:val="center"/>
              <w:textAlignment w:val="center"/>
              <w:rPr>
                <w:rFonts w:hint="eastAsia" w:ascii="仿宋_GB2312" w:hAnsi="仿宋_GB2312" w:eastAsia="仿宋_GB2312" w:cs="仿宋_GB2312"/>
                <w:kern w:val="0"/>
                <w:sz w:val="21"/>
                <w:szCs w:val="21"/>
              </w:rPr>
            </w:pPr>
          </w:p>
        </w:tc>
        <w:tc>
          <w:tcPr>
            <w:tcW w:w="1573"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8403101000</w:t>
            </w:r>
          </w:p>
        </w:tc>
        <w:tc>
          <w:tcPr>
            <w:tcW w:w="5597" w:type="dxa"/>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家用型热水锅炉</w:t>
            </w:r>
          </w:p>
        </w:tc>
        <w:tc>
          <w:tcPr>
            <w:tcW w:w="2077" w:type="dxa"/>
            <w:vMerge w:val="continue"/>
            <w:vAlign w:val="top"/>
          </w:tcPr>
          <w:p>
            <w:pPr>
              <w:widowControl/>
              <w:jc w:val="center"/>
              <w:textAlignment w:val="center"/>
              <w:rPr>
                <w:rFonts w:hint="eastAsia" w:ascii="仿宋_GB2312" w:hAnsi="仿宋_GB2312" w:eastAsia="仿宋_GB2312" w:cs="仿宋_GB2312"/>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909" w:type="dxa"/>
            <w:vAlign w:val="center"/>
          </w:tcPr>
          <w:p>
            <w:pPr>
              <w:widowControl/>
              <w:jc w:val="center"/>
              <w:textAlignment w:val="center"/>
              <w:rPr>
                <w:rFonts w:hint="default" w:ascii="仿宋_GB2312" w:hAnsi="仿宋_GB2312" w:eastAsia="仿宋_GB2312" w:cs="仿宋_GB2312"/>
                <w:kern w:val="0"/>
                <w:sz w:val="21"/>
                <w:szCs w:val="21"/>
                <w:lang w:val="en-US" w:eastAsia="zh-CN"/>
              </w:rPr>
            </w:pPr>
            <w:r>
              <w:rPr>
                <w:rFonts w:hint="eastAsia" w:ascii="仿宋_GB2312" w:hAnsi="仿宋_GB2312" w:eastAsia="仿宋_GB2312" w:cs="仿宋_GB2312"/>
                <w:kern w:val="0"/>
                <w:sz w:val="21"/>
                <w:szCs w:val="21"/>
                <w:lang w:val="en-US" w:eastAsia="zh-CN"/>
              </w:rPr>
              <w:t>103</w:t>
            </w:r>
          </w:p>
        </w:tc>
        <w:tc>
          <w:tcPr>
            <w:tcW w:w="4037" w:type="dxa"/>
            <w:vAlign w:val="center"/>
          </w:tcPr>
          <w:p>
            <w:pPr>
              <w:widowControl/>
              <w:jc w:val="center"/>
              <w:textAlignment w:val="center"/>
              <w:rPr>
                <w:rFonts w:hint="eastAsia" w:ascii="仿宋_GB2312" w:hAnsi="仿宋_GB2312" w:eastAsia="仿宋_GB2312" w:cs="仿宋_GB2312"/>
                <w:kern w:val="0"/>
                <w:sz w:val="21"/>
                <w:szCs w:val="21"/>
                <w:lang w:eastAsia="zh-CN"/>
              </w:rPr>
            </w:pPr>
            <w:r>
              <w:rPr>
                <w:rFonts w:hint="eastAsia" w:ascii="仿宋_GB2312" w:hAnsi="仿宋_GB2312" w:eastAsia="仿宋_GB2312" w:cs="仿宋_GB2312"/>
                <w:kern w:val="0"/>
                <w:sz w:val="21"/>
                <w:szCs w:val="21"/>
              </w:rPr>
              <w:t>防爆电气</w:t>
            </w:r>
            <w:r>
              <w:rPr>
                <w:rFonts w:hint="eastAsia" w:ascii="仿宋_GB2312" w:hAnsi="仿宋_GB2312" w:eastAsia="仿宋_GB2312" w:cs="仿宋_GB2312"/>
                <w:kern w:val="0"/>
                <w:sz w:val="21"/>
                <w:szCs w:val="21"/>
                <w:lang w:eastAsia="zh-CN"/>
              </w:rPr>
              <w:t>产品</w:t>
            </w:r>
          </w:p>
        </w:tc>
        <w:tc>
          <w:tcPr>
            <w:tcW w:w="7170" w:type="dxa"/>
            <w:gridSpan w:val="2"/>
            <w:vAlign w:val="center"/>
          </w:tcPr>
          <w:p>
            <w:pPr>
              <w:widowControl/>
              <w:jc w:val="center"/>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lang w:eastAsia="zh-CN"/>
              </w:rPr>
              <w:t>此类产品包括防爆电机、防爆配电装置、防爆监控产品、防爆通信装置、防爆电加热产品、防爆传感器等多种电气类产品，需根据商品的自然属性、功能、用途等进行归类判定。</w:t>
            </w:r>
          </w:p>
        </w:tc>
        <w:tc>
          <w:tcPr>
            <w:tcW w:w="2077" w:type="dxa"/>
            <w:vMerge w:val="continue"/>
            <w:vAlign w:val="top"/>
          </w:tcPr>
          <w:p>
            <w:pPr>
              <w:widowControl/>
              <w:jc w:val="center"/>
              <w:textAlignment w:val="center"/>
              <w:rPr>
                <w:rFonts w:hint="eastAsia" w:ascii="仿宋_GB2312" w:hAnsi="仿宋_GB2312" w:eastAsia="仿宋_GB2312" w:cs="仿宋_GB2312"/>
                <w:kern w:val="0"/>
                <w:sz w:val="21"/>
                <w:szCs w:val="21"/>
              </w:rPr>
            </w:pPr>
          </w:p>
        </w:tc>
      </w:tr>
    </w:tbl>
    <w:p>
      <w:pPr>
        <w:keepNext w:val="0"/>
        <w:keepLines w:val="0"/>
        <w:pageBreakBefore w:val="0"/>
        <w:widowControl w:val="0"/>
        <w:tabs>
          <w:tab w:val="left" w:pos="8960"/>
        </w:tabs>
        <w:kinsoku/>
        <w:wordWrap/>
        <w:overflowPunct/>
        <w:topLinePunct w:val="0"/>
        <w:autoSpaceDE/>
        <w:autoSpaceDN/>
        <w:bidi w:val="0"/>
        <w:adjustRightInd/>
        <w:snapToGrid/>
        <w:spacing w:line="400" w:lineRule="exact"/>
        <w:ind w:left="0" w:leftChars="0" w:firstLine="274" w:firstLineChars="100"/>
        <w:textAlignment w:val="center"/>
        <w:outlineLvl w:val="9"/>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rPr>
        <w:t>注：</w:t>
      </w:r>
      <w:r>
        <w:rPr>
          <w:rFonts w:hint="eastAsia" w:ascii="仿宋_GB2312" w:hAnsi="仿宋_GB2312" w:eastAsia="仿宋_GB2312" w:cs="仿宋_GB2312"/>
          <w:kern w:val="0"/>
          <w:sz w:val="28"/>
          <w:szCs w:val="28"/>
          <w:lang w:eastAsia="zh-CN"/>
        </w:rPr>
        <w:t>“﹡”代表：对于信息技术设备、音视频设备中的部分产品（标称额定电压小于等于</w:t>
      </w:r>
      <w:r>
        <w:rPr>
          <w:rFonts w:hint="eastAsia" w:ascii="仿宋_GB2312" w:hAnsi="仿宋_GB2312" w:eastAsia="仿宋_GB2312" w:cs="仿宋_GB2312"/>
          <w:kern w:val="0"/>
          <w:sz w:val="28"/>
          <w:szCs w:val="28"/>
          <w:lang w:val="en-US" w:eastAsia="zh-CN"/>
        </w:rPr>
        <w:t>5VDC，</w:t>
      </w:r>
      <w:r>
        <w:rPr>
          <w:rFonts w:hint="eastAsia" w:ascii="仿宋_GB2312" w:hAnsi="仿宋_GB2312" w:eastAsia="仿宋_GB2312" w:cs="仿宋_GB2312"/>
          <w:kern w:val="0"/>
          <w:sz w:val="28"/>
          <w:szCs w:val="28"/>
          <w:lang w:eastAsia="zh-CN"/>
        </w:rPr>
        <w:t>标称额定消耗功</w:t>
      </w:r>
      <w:bookmarkStart w:id="3" w:name="_GoBack"/>
      <w:bookmarkEnd w:id="3"/>
      <w:r>
        <w:rPr>
          <w:rFonts w:hint="eastAsia" w:ascii="仿宋_GB2312" w:hAnsi="仿宋_GB2312" w:eastAsia="仿宋_GB2312" w:cs="仿宋_GB2312"/>
          <w:kern w:val="0"/>
          <w:sz w:val="28"/>
          <w:szCs w:val="28"/>
          <w:lang w:eastAsia="zh-CN"/>
        </w:rPr>
        <w:t>率小于</w:t>
      </w:r>
      <w:r>
        <w:rPr>
          <w:rFonts w:hint="eastAsia" w:ascii="仿宋_GB2312" w:hAnsi="仿宋_GB2312" w:eastAsia="仿宋_GB2312" w:cs="仿宋_GB2312"/>
          <w:kern w:val="0"/>
          <w:sz w:val="28"/>
          <w:szCs w:val="28"/>
          <w:lang w:val="en-US" w:eastAsia="zh-CN"/>
        </w:rPr>
        <w:t>15W</w:t>
      </w:r>
      <w:r>
        <w:rPr>
          <w:rFonts w:hint="eastAsia" w:ascii="仿宋_GB2312" w:hAnsi="仿宋_GB2312" w:eastAsia="仿宋_GB2312" w:cs="仿宋_GB2312"/>
          <w:kern w:val="0"/>
          <w:sz w:val="28"/>
          <w:szCs w:val="28"/>
          <w:lang w:eastAsia="zh-CN"/>
        </w:rPr>
        <w:t>（或</w:t>
      </w:r>
      <w:r>
        <w:rPr>
          <w:rFonts w:hint="eastAsia" w:ascii="仿宋_GB2312" w:hAnsi="仿宋_GB2312" w:eastAsia="仿宋_GB2312" w:cs="仿宋_GB2312"/>
          <w:kern w:val="0"/>
          <w:sz w:val="28"/>
          <w:szCs w:val="28"/>
          <w:lang w:val="en-US" w:eastAsia="zh-CN"/>
        </w:rPr>
        <w:t>15VA</w:t>
      </w:r>
      <w:r>
        <w:rPr>
          <w:rFonts w:hint="eastAsia" w:ascii="仿宋_GB2312" w:hAnsi="仿宋_GB2312" w:eastAsia="仿宋_GB2312" w:cs="仿宋_GB2312"/>
          <w:kern w:val="0"/>
          <w:sz w:val="28"/>
          <w:szCs w:val="28"/>
          <w:lang w:eastAsia="zh-CN"/>
        </w:rPr>
        <w:t>），且无可充电电池的设备（</w:t>
      </w:r>
      <w:r>
        <w:rPr>
          <w:rFonts w:hint="eastAsia" w:ascii="仿宋_GB2312" w:hAnsi="仿宋_GB2312" w:eastAsia="仿宋_GB2312" w:cs="仿宋_GB2312"/>
          <w:kern w:val="0"/>
          <w:sz w:val="28"/>
          <w:szCs w:val="28"/>
          <w:lang w:val="en-US" w:eastAsia="zh-CN"/>
        </w:rPr>
        <w:t>III</w:t>
      </w:r>
      <w:r>
        <w:rPr>
          <w:rFonts w:hint="eastAsia" w:ascii="仿宋_GB2312" w:hAnsi="仿宋_GB2312" w:eastAsia="仿宋_GB2312" w:cs="仿宋_GB2312"/>
          <w:kern w:val="0"/>
          <w:sz w:val="28"/>
          <w:szCs w:val="28"/>
          <w:lang w:eastAsia="zh-CN"/>
        </w:rPr>
        <w:t>类设备）），采用自我</w:t>
      </w:r>
      <w:r>
        <w:rPr>
          <w:rFonts w:hint="eastAsia" w:ascii="仿宋_GB2312" w:hAnsi="仿宋_GB2312" w:eastAsia="仿宋_GB2312" w:cs="仿宋_GB2312"/>
          <w:kern w:val="0"/>
          <w:sz w:val="28"/>
          <w:szCs w:val="28"/>
        </w:rPr>
        <w:t xml:space="preserve">声明评价方式。      </w:t>
      </w:r>
    </w:p>
    <w:p>
      <w:pPr>
        <w:contextualSpacing/>
        <w:jc w:val="center"/>
        <w:textAlignment w:val="center"/>
        <w:rPr>
          <w:rFonts w:hint="eastAsia" w:ascii="宋体" w:hAnsi="宋体"/>
          <w:sz w:val="18"/>
          <w:szCs w:val="18"/>
        </w:rPr>
      </w:pPr>
      <w:r>
        <w:rPr>
          <w:rFonts w:hint="eastAsia" w:ascii="宋体" w:hAnsi="宋体"/>
          <w:sz w:val="18"/>
          <w:szCs w:val="18"/>
        </w:rPr>
        <w:t xml:space="preserve"> </w:t>
      </w:r>
      <w:r>
        <w:rPr>
          <w:rFonts w:ascii="宋体" w:hAnsi="宋体"/>
          <w:sz w:val="18"/>
          <w:szCs w:val="18"/>
        </w:rPr>
        <w:t xml:space="preserve">  </w:t>
      </w:r>
    </w:p>
    <w:sectPr>
      <w:headerReference r:id="rId3" w:type="default"/>
      <w:footerReference r:id="rId5" w:type="default"/>
      <w:headerReference r:id="rId4" w:type="even"/>
      <w:footerReference r:id="rId6" w:type="even"/>
      <w:pgSz w:w="11906" w:h="16838"/>
      <w:pgMar w:top="1984" w:right="1474" w:bottom="1361" w:left="1474" w:header="851" w:footer="1361" w:gutter="0"/>
      <w:pgBorders>
        <w:top w:val="none" w:sz="0" w:space="0"/>
        <w:left w:val="none" w:sz="0" w:space="0"/>
        <w:bottom w:val="none" w:sz="0" w:space="0"/>
        <w:right w:val="none" w:sz="0" w:space="0"/>
      </w:pgBorders>
      <w:cols w:space="0" w:num="1"/>
      <w:rtlGutter w:val="0"/>
      <w:docGrid w:type="linesAndChars" w:linePitch="293"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sz w:val="28"/>
        <w:szCs w:val="28"/>
      </w:rPr>
      <w:id w:val="-2109349284"/>
      <w:docPartObj>
        <w:docPartGallery w:val="autotext"/>
      </w:docPartObj>
    </w:sdtPr>
    <w:sdtEndPr>
      <w:rPr>
        <w:rFonts w:asciiTheme="minorEastAsia" w:hAnsiTheme="minorEastAsia"/>
        <w:sz w:val="28"/>
        <w:szCs w:val="28"/>
      </w:rPr>
    </w:sdtEndPr>
    <w:sdtContent>
      <w:p>
        <w:pPr>
          <w:pStyle w:val="9"/>
          <w:ind w:left="315" w:leftChars="150" w:right="315" w:rightChars="150"/>
          <w:jc w:val="right"/>
        </w:pPr>
        <w:r>
          <w:rPr>
            <w:rFonts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4</w:t>
        </w:r>
        <w:r>
          <w:rPr>
            <w:rFonts w:asciiTheme="minorEastAsia" w:hAnsiTheme="minorEastAsia"/>
            <w:sz w:val="28"/>
            <w:szCs w:val="28"/>
          </w:rPr>
          <w:fldChar w:fldCharType="end"/>
        </w:r>
        <w:r>
          <w:rPr>
            <w:rFonts w:asciiTheme="minorEastAsia" w:hAnsiTheme="minor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sz w:val="28"/>
        <w:szCs w:val="28"/>
      </w:rPr>
      <w:id w:val="-2109349284"/>
      <w:docPartObj>
        <w:docPartGallery w:val="autotext"/>
      </w:docPartObj>
    </w:sdtPr>
    <w:sdtEndPr>
      <w:rPr>
        <w:rFonts w:asciiTheme="minorEastAsia" w:hAnsiTheme="minorEastAsia"/>
        <w:sz w:val="28"/>
        <w:szCs w:val="28"/>
      </w:rPr>
    </w:sdtEndPr>
    <w:sdtContent>
      <w:p>
        <w:pPr>
          <w:pStyle w:val="9"/>
          <w:ind w:left="315" w:leftChars="150" w:right="315" w:rightChars="150"/>
        </w:pPr>
        <w:r>
          <w:rPr>
            <w:rFonts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4</w:t>
        </w:r>
        <w:r>
          <w:rPr>
            <w:rFonts w:asciiTheme="minorEastAsia" w:hAnsiTheme="minorEastAsia"/>
            <w:sz w:val="28"/>
            <w:szCs w:val="28"/>
          </w:rPr>
          <w:fldChar w:fldCharType="end"/>
        </w:r>
        <w:r>
          <w:rPr>
            <w:rFonts w:asciiTheme="minorEastAsia" w:hAnsiTheme="minorEastAsia"/>
            <w:sz w:val="28"/>
            <w:szCs w:val="28"/>
          </w:rPr>
          <w:t xml:space="preserve"> —</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6BB6"/>
    <w:multiLevelType w:val="multilevel"/>
    <w:tmpl w:val="23646BB6"/>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30"/>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val="1"/>
  <w:bordersDoNotSurroundHeader w:val="1"/>
  <w:bordersDoNotSurroundFooter w:val="1"/>
  <w:documentProtection w:enforcement="0"/>
  <w:defaultTabStop w:val="420"/>
  <w:evenAndOddHeaders w:val="1"/>
  <w:drawingGridHorizontalSpacing w:val="102"/>
  <w:drawingGridVerticalSpacing w:val="14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AA7"/>
    <w:rsid w:val="000340E4"/>
    <w:rsid w:val="000633BE"/>
    <w:rsid w:val="00092BC1"/>
    <w:rsid w:val="000955CF"/>
    <w:rsid w:val="000C3553"/>
    <w:rsid w:val="000E727A"/>
    <w:rsid w:val="000F32DE"/>
    <w:rsid w:val="00170A3A"/>
    <w:rsid w:val="0018219D"/>
    <w:rsid w:val="002401A8"/>
    <w:rsid w:val="00293E99"/>
    <w:rsid w:val="002A625F"/>
    <w:rsid w:val="002C53E0"/>
    <w:rsid w:val="002D70A3"/>
    <w:rsid w:val="003021CF"/>
    <w:rsid w:val="00374050"/>
    <w:rsid w:val="0038701F"/>
    <w:rsid w:val="00391194"/>
    <w:rsid w:val="003D26DE"/>
    <w:rsid w:val="005372D1"/>
    <w:rsid w:val="00540866"/>
    <w:rsid w:val="00586185"/>
    <w:rsid w:val="005C0A20"/>
    <w:rsid w:val="005E1984"/>
    <w:rsid w:val="0062550A"/>
    <w:rsid w:val="00676240"/>
    <w:rsid w:val="006868A6"/>
    <w:rsid w:val="006D7B19"/>
    <w:rsid w:val="00712AFA"/>
    <w:rsid w:val="00784ACA"/>
    <w:rsid w:val="00790924"/>
    <w:rsid w:val="0079678E"/>
    <w:rsid w:val="007B3853"/>
    <w:rsid w:val="00881EE8"/>
    <w:rsid w:val="00895B1D"/>
    <w:rsid w:val="008E3D8D"/>
    <w:rsid w:val="008F0AB1"/>
    <w:rsid w:val="00907AA7"/>
    <w:rsid w:val="00927806"/>
    <w:rsid w:val="009551F5"/>
    <w:rsid w:val="009A3D99"/>
    <w:rsid w:val="009C783A"/>
    <w:rsid w:val="009D4DF9"/>
    <w:rsid w:val="00A75A69"/>
    <w:rsid w:val="00AA7B39"/>
    <w:rsid w:val="00B317B3"/>
    <w:rsid w:val="00BB697C"/>
    <w:rsid w:val="00C54464"/>
    <w:rsid w:val="00C67799"/>
    <w:rsid w:val="00C93234"/>
    <w:rsid w:val="00C95A39"/>
    <w:rsid w:val="00CB03D3"/>
    <w:rsid w:val="00DA3900"/>
    <w:rsid w:val="00E01820"/>
    <w:rsid w:val="00E35D7D"/>
    <w:rsid w:val="00E3632A"/>
    <w:rsid w:val="00E37CA6"/>
    <w:rsid w:val="00E72F77"/>
    <w:rsid w:val="00EB3A8C"/>
    <w:rsid w:val="00EC298A"/>
    <w:rsid w:val="00EE1627"/>
    <w:rsid w:val="00FB0563"/>
    <w:rsid w:val="00FC5368"/>
    <w:rsid w:val="00FC6B97"/>
    <w:rsid w:val="106B5CC0"/>
    <w:rsid w:val="2CFF2E26"/>
    <w:rsid w:val="2E5F3954"/>
    <w:rsid w:val="307B510D"/>
    <w:rsid w:val="379602E2"/>
    <w:rsid w:val="38B37B99"/>
    <w:rsid w:val="3FFE2004"/>
    <w:rsid w:val="42711CF5"/>
    <w:rsid w:val="43543B23"/>
    <w:rsid w:val="45F026D5"/>
    <w:rsid w:val="56217B10"/>
    <w:rsid w:val="5A8D5FE4"/>
    <w:rsid w:val="5C294F19"/>
    <w:rsid w:val="7F4A7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0"/>
    <w:pPr>
      <w:keepNext/>
      <w:keepLines/>
      <w:numPr>
        <w:ilvl w:val="0"/>
        <w:numId w:val="1"/>
      </w:numPr>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2"/>
    <w:qFormat/>
    <w:uiPriority w:val="0"/>
    <w:pPr>
      <w:keepNext/>
      <w:keepLines/>
      <w:numPr>
        <w:ilvl w:val="1"/>
        <w:numId w:val="1"/>
      </w:numPr>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23"/>
    <w:qFormat/>
    <w:uiPriority w:val="9"/>
    <w:pPr>
      <w:keepNext/>
      <w:keepLines/>
      <w:spacing w:before="260" w:after="260" w:line="416" w:lineRule="auto"/>
      <w:outlineLvl w:val="2"/>
    </w:pPr>
    <w:rPr>
      <w:rFonts w:ascii="Calibri" w:hAnsi="Calibri" w:eastAsia="宋体" w:cs="Times New Roman"/>
      <w:b/>
      <w:bCs/>
      <w:sz w:val="32"/>
      <w:szCs w:val="32"/>
    </w:rPr>
  </w:style>
  <w:style w:type="character" w:default="1" w:styleId="15">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Body Text 3"/>
    <w:basedOn w:val="1"/>
    <w:link w:val="24"/>
    <w:qFormat/>
    <w:uiPriority w:val="0"/>
    <w:pPr>
      <w:jc w:val="center"/>
    </w:pPr>
    <w:rPr>
      <w:rFonts w:eastAsia="黑体"/>
      <w:color w:val="000000"/>
      <w:sz w:val="44"/>
    </w:rPr>
  </w:style>
  <w:style w:type="paragraph" w:styleId="6">
    <w:name w:val="toc 3"/>
    <w:basedOn w:val="1"/>
    <w:next w:val="1"/>
    <w:unhideWhenUsed/>
    <w:qFormat/>
    <w:uiPriority w:val="39"/>
    <w:pPr>
      <w:ind w:left="840" w:leftChars="400"/>
    </w:pPr>
  </w:style>
  <w:style w:type="paragraph" w:styleId="7">
    <w:name w:val="Date"/>
    <w:basedOn w:val="1"/>
    <w:next w:val="1"/>
    <w:link w:val="20"/>
    <w:semiHidden/>
    <w:unhideWhenUsed/>
    <w:qFormat/>
    <w:uiPriority w:val="99"/>
    <w:pPr>
      <w:ind w:left="100" w:leftChars="2500"/>
    </w:pPr>
  </w:style>
  <w:style w:type="paragraph" w:styleId="8">
    <w:name w:val="Balloon Text"/>
    <w:basedOn w:val="1"/>
    <w:link w:val="31"/>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6">
    <w:name w:val="Strong"/>
    <w:qFormat/>
    <w:uiPriority w:val="22"/>
    <w:rPr>
      <w:b/>
      <w:bCs/>
    </w:rPr>
  </w:style>
  <w:style w:type="character" w:styleId="17">
    <w:name w:val="page number"/>
    <w:basedOn w:val="15"/>
    <w:qFormat/>
    <w:uiPriority w:val="0"/>
  </w:style>
  <w:style w:type="character" w:customStyle="1" w:styleId="18">
    <w:name w:val="页眉 Char"/>
    <w:basedOn w:val="15"/>
    <w:link w:val="10"/>
    <w:semiHidden/>
    <w:qFormat/>
    <w:uiPriority w:val="99"/>
    <w:rPr>
      <w:sz w:val="18"/>
      <w:szCs w:val="18"/>
    </w:rPr>
  </w:style>
  <w:style w:type="character" w:customStyle="1" w:styleId="19">
    <w:name w:val="页脚 Char"/>
    <w:basedOn w:val="15"/>
    <w:link w:val="9"/>
    <w:qFormat/>
    <w:uiPriority w:val="99"/>
    <w:rPr>
      <w:sz w:val="18"/>
      <w:szCs w:val="18"/>
    </w:rPr>
  </w:style>
  <w:style w:type="character" w:customStyle="1" w:styleId="20">
    <w:name w:val="日期 Char"/>
    <w:basedOn w:val="15"/>
    <w:link w:val="7"/>
    <w:semiHidden/>
    <w:qFormat/>
    <w:uiPriority w:val="99"/>
  </w:style>
  <w:style w:type="character" w:customStyle="1" w:styleId="21">
    <w:name w:val="标题 1 Char"/>
    <w:basedOn w:val="15"/>
    <w:link w:val="2"/>
    <w:qFormat/>
    <w:uiPriority w:val="0"/>
    <w:rPr>
      <w:rFonts w:ascii="Calibri" w:hAnsi="Calibri" w:eastAsia="宋体" w:cs="Times New Roman"/>
      <w:b/>
      <w:bCs/>
      <w:kern w:val="44"/>
      <w:sz w:val="44"/>
      <w:szCs w:val="44"/>
    </w:rPr>
  </w:style>
  <w:style w:type="character" w:customStyle="1" w:styleId="22">
    <w:name w:val="标题 2 Char"/>
    <w:basedOn w:val="15"/>
    <w:link w:val="3"/>
    <w:qFormat/>
    <w:uiPriority w:val="0"/>
    <w:rPr>
      <w:rFonts w:ascii="Arial" w:hAnsi="Arial" w:eastAsia="黑体" w:cs="Times New Roman"/>
      <w:b/>
      <w:bCs/>
      <w:sz w:val="32"/>
      <w:szCs w:val="32"/>
    </w:rPr>
  </w:style>
  <w:style w:type="character" w:customStyle="1" w:styleId="23">
    <w:name w:val="标题 3 Char"/>
    <w:basedOn w:val="15"/>
    <w:link w:val="4"/>
    <w:qFormat/>
    <w:uiPriority w:val="9"/>
    <w:rPr>
      <w:rFonts w:ascii="Calibri" w:hAnsi="Calibri" w:eastAsia="宋体" w:cs="Times New Roman"/>
      <w:b/>
      <w:bCs/>
      <w:sz w:val="32"/>
      <w:szCs w:val="32"/>
    </w:rPr>
  </w:style>
  <w:style w:type="character" w:customStyle="1" w:styleId="24">
    <w:name w:val="正文文本 3 Char"/>
    <w:link w:val="5"/>
    <w:qFormat/>
    <w:uiPriority w:val="0"/>
    <w:rPr>
      <w:rFonts w:eastAsia="黑体"/>
      <w:color w:val="000000"/>
      <w:sz w:val="44"/>
    </w:rPr>
  </w:style>
  <w:style w:type="paragraph" w:customStyle="1" w:styleId="25">
    <w:name w:val="目录 21"/>
    <w:basedOn w:val="1"/>
    <w:next w:val="1"/>
    <w:qFormat/>
    <w:uiPriority w:val="39"/>
    <w:pPr>
      <w:tabs>
        <w:tab w:val="left" w:pos="840"/>
        <w:tab w:val="right" w:leader="dot" w:pos="8296"/>
      </w:tabs>
      <w:adjustRightInd w:val="0"/>
      <w:snapToGrid w:val="0"/>
      <w:jc w:val="left"/>
    </w:pPr>
    <w:rPr>
      <w:rFonts w:ascii="Calibri" w:hAnsi="Calibri" w:eastAsia="宋体" w:cs="Times New Roman"/>
      <w:smallCaps/>
      <w:sz w:val="20"/>
      <w:szCs w:val="20"/>
    </w:rPr>
  </w:style>
  <w:style w:type="character" w:customStyle="1" w:styleId="26">
    <w:name w:val="正文文本 3 Char1"/>
    <w:basedOn w:val="15"/>
    <w:semiHidden/>
    <w:qFormat/>
    <w:uiPriority w:val="99"/>
    <w:rPr>
      <w:sz w:val="16"/>
      <w:szCs w:val="16"/>
    </w:rPr>
  </w:style>
  <w:style w:type="paragraph" w:customStyle="1" w:styleId="27">
    <w:name w:val="目录 11"/>
    <w:basedOn w:val="1"/>
    <w:next w:val="1"/>
    <w:qFormat/>
    <w:uiPriority w:val="39"/>
    <w:pPr>
      <w:spacing w:before="120" w:after="120"/>
      <w:jc w:val="left"/>
    </w:pPr>
    <w:rPr>
      <w:rFonts w:ascii="Calibri" w:hAnsi="Calibri" w:eastAsia="宋体" w:cs="Times New Roman"/>
      <w:b/>
      <w:bCs/>
      <w:caps/>
      <w:sz w:val="20"/>
      <w:szCs w:val="20"/>
    </w:rPr>
  </w:style>
  <w:style w:type="paragraph" w:customStyle="1" w:styleId="28">
    <w:name w:val="目录 31"/>
    <w:basedOn w:val="1"/>
    <w:next w:val="1"/>
    <w:qFormat/>
    <w:uiPriority w:val="39"/>
    <w:pPr>
      <w:tabs>
        <w:tab w:val="left" w:pos="1260"/>
        <w:tab w:val="right" w:leader="dot" w:pos="8296"/>
      </w:tabs>
      <w:ind w:left="420"/>
    </w:pPr>
    <w:rPr>
      <w:rFonts w:ascii="Calibri" w:hAnsi="Calibri" w:eastAsia="宋体" w:cs="Times New Roman"/>
      <w:i/>
      <w:iCs/>
      <w:sz w:val="20"/>
      <w:szCs w:val="20"/>
    </w:rPr>
  </w:style>
  <w:style w:type="paragraph" w:customStyle="1" w:styleId="29">
    <w:name w:val="TOC Heading"/>
    <w:basedOn w:val="2"/>
    <w:next w:val="1"/>
    <w:qFormat/>
    <w:uiPriority w:val="39"/>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30">
    <w:name w:val="二级条标题"/>
    <w:basedOn w:val="1"/>
    <w:next w:val="1"/>
    <w:qFormat/>
    <w:uiPriority w:val="0"/>
    <w:pPr>
      <w:widowControl/>
      <w:numPr>
        <w:ilvl w:val="2"/>
        <w:numId w:val="1"/>
      </w:numPr>
      <w:spacing w:before="50" w:after="50"/>
      <w:jc w:val="left"/>
      <w:outlineLvl w:val="3"/>
    </w:pPr>
    <w:rPr>
      <w:rFonts w:ascii="黑体" w:hAnsi="Calibri" w:eastAsia="黑体" w:cs="Times New Roman"/>
      <w:kern w:val="0"/>
      <w:szCs w:val="21"/>
    </w:rPr>
  </w:style>
  <w:style w:type="character" w:customStyle="1" w:styleId="31">
    <w:name w:val="批注框文本 Char"/>
    <w:basedOn w:val="15"/>
    <w:link w:val="8"/>
    <w:semiHidden/>
    <w:qFormat/>
    <w:uiPriority w:val="99"/>
    <w:rPr>
      <w:sz w:val="18"/>
      <w:szCs w:val="18"/>
    </w:rPr>
  </w:style>
  <w:style w:type="paragraph" w:styleId="32">
    <w:name w:val="List Paragraph"/>
    <w:basedOn w:val="1"/>
    <w:qFormat/>
    <w:uiPriority w:val="34"/>
    <w:pPr>
      <w:ind w:firstLine="420" w:firstLineChars="200"/>
    </w:pPr>
  </w:style>
  <w:style w:type="paragraph" w:customStyle="1" w:styleId="3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paragraph" w:customStyle="1" w:styleId="34">
    <w:name w:val="TOC 标题1"/>
    <w:basedOn w:val="2"/>
    <w:next w:val="1"/>
    <w:qFormat/>
    <w:uiPriority w:val="39"/>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35">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08C11-559E-42BA-8B63-54EA5631979A}">
  <ds:schemaRefs/>
</ds:datastoreItem>
</file>

<file path=docProps/app.xml><?xml version="1.0" encoding="utf-8"?>
<Properties xmlns="http://schemas.openxmlformats.org/officeDocument/2006/extended-properties" xmlns:vt="http://schemas.openxmlformats.org/officeDocument/2006/docPropsVTypes">
  <Template>Normal</Template>
  <Pages>19</Pages>
  <Words>1229</Words>
  <Characters>7007</Characters>
  <Lines>58</Lines>
  <Paragraphs>16</Paragraphs>
  <TotalTime>13</TotalTime>
  <ScaleCrop>false</ScaleCrop>
  <LinksUpToDate>false</LinksUpToDate>
  <CharactersWithSpaces>8220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2019-07-08T03:32:00Z</dcterms:created>
  <dc:creator>ysw</dc:creator>
  <cp:lastModifiedBy>李岩</cp:lastModifiedBy>
  <cp:lastPrinted>2019-10-25T03:28:00Z</cp:lastPrinted>
  <dcterms:modified xsi:type="dcterms:W3CDTF">2020-04-29T08:59:34Z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